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eastAsia="仿宋_GB2312" w:cs="Times New Roman"/>
          <w:b w:val="0"/>
          <w:bCs/>
          <w:color w:val="auto"/>
          <w:sz w:val="40"/>
          <w:szCs w:val="40"/>
        </w:rPr>
      </w:pPr>
    </w:p>
    <w:p>
      <w:pPr>
        <w:keepNext w:val="0"/>
        <w:keepLines w:val="0"/>
        <w:pageBreakBefore w:val="0"/>
        <w:widowControl w:val="0"/>
        <w:suppressAutoHyphens/>
        <w:kinsoku/>
        <w:wordWrap/>
        <w:overflowPunct/>
        <w:topLinePunct w:val="0"/>
        <w:autoSpaceDE/>
        <w:autoSpaceDN/>
        <w:bidi w:val="0"/>
        <w:adjustRightInd/>
        <w:snapToGrid/>
        <w:spacing w:line="579" w:lineRule="exact"/>
        <w:jc w:val="center"/>
        <w:textAlignment w:val="auto"/>
        <w:rPr>
          <w:rFonts w:hint="default" w:ascii="Times New Roman" w:hAnsi="Times New Roman" w:eastAsia="方正小标宋_GBK" w:cs="Times New Roman"/>
          <w:bCs/>
          <w:color w:val="auto"/>
          <w:sz w:val="44"/>
          <w:szCs w:val="44"/>
        </w:rPr>
      </w:pPr>
      <w:bookmarkStart w:id="0" w:name="_GoBack"/>
      <w:r>
        <w:rPr>
          <w:rFonts w:hint="default" w:ascii="Times New Roman" w:hAnsi="Times New Roman" w:eastAsia="方正小标宋_GBK" w:cs="Times New Roman"/>
          <w:bCs/>
          <w:color w:val="auto"/>
          <w:sz w:val="44"/>
          <w:szCs w:val="44"/>
        </w:rPr>
        <w:t>四川高端引智经费管理办法</w:t>
      </w:r>
    </w:p>
    <w:bookmarkEnd w:id="0"/>
    <w:p>
      <w:pPr>
        <w:suppressAutoHyphens/>
        <w:bidi w:val="0"/>
        <w:spacing w:line="240" w:lineRule="auto"/>
        <w:rPr>
          <w:rFonts w:hint="default" w:ascii="Times New Roman" w:hAnsi="Times New Roman" w:eastAsia="仿宋_GB2312" w:cs="Times New Roman"/>
          <w:color w:val="auto"/>
          <w:sz w:val="31"/>
          <w:szCs w:val="31"/>
        </w:rPr>
      </w:pPr>
    </w:p>
    <w:p>
      <w:pPr>
        <w:keepNext w:val="0"/>
        <w:keepLines w:val="0"/>
        <w:pageBreakBefore w:val="0"/>
        <w:suppressAutoHyphens/>
        <w:kinsoku/>
        <w:wordWrap/>
        <w:overflowPunct/>
        <w:topLinePunct w:val="0"/>
        <w:bidi w:val="0"/>
        <w:snapToGrid/>
        <w:jc w:val="center"/>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第一章  总则</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第一条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为进一步规范和加强四川高端引智经费（以下简称“引智经费”）的使用管理，提高财政资金使用绩效，根据《国家外国专家项目和经费管理办法》（国科发专〔2021〕49号）、《四川省科技计划项目专项资金管理办法》（川财规〔2019〕10号）、《“天府高端引智计划”实施办法》（川科专〔2019〕4号）等文件规定，结合我省实际，制定本办法。</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第二条</w:t>
      </w:r>
      <w:r>
        <w:rPr>
          <w:rFonts w:hint="default" w:ascii="Times New Roman" w:hAnsi="Times New Roman" w:eastAsia="仿宋_GB2312" w:cs="Times New Roman"/>
          <w:b/>
          <w:bCs/>
          <w:color w:val="auto"/>
          <w:sz w:val="32"/>
          <w:szCs w:val="32"/>
          <w:lang w:val="en"/>
        </w:rPr>
        <w:t xml:space="preserve"> </w:t>
      </w: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lang w:eastAsia="zh-CN"/>
        </w:rPr>
        <w:t>引智经费是指由四川省科学技术厅（以下简称“科技厅”）在省级科技计划项目专项资金中统筹安排，用于国（境）外高端人才引进、省级引智成果示范推广、省级引才引智基地（平台）建设等引才引智工作的资金。</w:t>
      </w:r>
    </w:p>
    <w:p>
      <w:pPr>
        <w:keepNext w:val="0"/>
        <w:keepLines w:val="0"/>
        <w:pageBreakBefore w:val="0"/>
        <w:suppressAutoHyphens/>
        <w:kinsoku/>
        <w:wordWrap/>
        <w:overflowPunct/>
        <w:topLinePunct w:val="0"/>
        <w:bidi w:val="0"/>
        <w:adjustRightInd w:val="0"/>
        <w:snapToGrid/>
        <w:ind w:firstLine="617" w:firstLineChars="19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第三条  </w:t>
      </w:r>
      <w:r>
        <w:rPr>
          <w:rFonts w:hint="default" w:ascii="Times New Roman" w:hAnsi="Times New Roman" w:eastAsia="仿宋_GB2312" w:cs="Times New Roman"/>
          <w:color w:val="auto"/>
          <w:sz w:val="32"/>
          <w:szCs w:val="32"/>
          <w:lang w:eastAsia="zh-CN"/>
        </w:rPr>
        <w:t>引智经费支持对象是在四川省境内注册或位于四川省境内，具有独立法人资格的科研院所、高等院校、企业、医疗卫生机构及其它具备科研开发和人才服务能力的单位。</w:t>
      </w:r>
    </w:p>
    <w:p>
      <w:pPr>
        <w:keepNext w:val="0"/>
        <w:keepLines w:val="0"/>
        <w:pageBreakBefore w:val="0"/>
        <w:suppressAutoHyphens/>
        <w:kinsoku/>
        <w:wordWrap/>
        <w:overflowPunct/>
        <w:topLinePunct w:val="0"/>
        <w:bidi w:val="0"/>
        <w:adjustRightInd w:val="0"/>
        <w:snapToGrid/>
        <w:ind w:firstLine="617" w:firstLineChars="195"/>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第四条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lang w:eastAsia="zh-CN"/>
        </w:rPr>
        <w:t>引智经费按照“突出重点、合理配置、专款专用、注重实效”的原则管理和使用。</w:t>
      </w:r>
    </w:p>
    <w:p>
      <w:pPr>
        <w:pStyle w:val="2"/>
        <w:rPr>
          <w:rFonts w:hint="default" w:ascii="Times New Roman" w:hAnsi="Times New Roman" w:cs="Times New Roman"/>
          <w:color w:val="auto"/>
          <w:sz w:val="32"/>
          <w:szCs w:val="32"/>
        </w:rPr>
      </w:pPr>
    </w:p>
    <w:p>
      <w:pPr>
        <w:keepNext w:val="0"/>
        <w:keepLines w:val="0"/>
        <w:pageBreakBefore w:val="0"/>
        <w:suppressAutoHyphens/>
        <w:kinsoku/>
        <w:wordWrap/>
        <w:overflowPunct/>
        <w:topLinePunct w:val="0"/>
        <w:bidi w:val="0"/>
        <w:adjustRightInd w:val="0"/>
        <w:snapToGrid/>
        <w:jc w:val="center"/>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第二章  开支范围及标准</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第五条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国（境）外高端人才引进项目资助额度</w:t>
      </w:r>
      <w:r>
        <w:rPr>
          <w:rFonts w:hint="default" w:ascii="Times New Roman" w:hAnsi="Times New Roman" w:eastAsia="仿宋_GB2312" w:cs="Times New Roman"/>
          <w:color w:val="auto"/>
          <w:sz w:val="32"/>
          <w:szCs w:val="32"/>
          <w:lang w:eastAsia="zh-CN"/>
        </w:rPr>
        <w:t>每项每年</w:t>
      </w:r>
      <w:r>
        <w:rPr>
          <w:rFonts w:hint="default" w:ascii="Times New Roman" w:hAnsi="Times New Roman" w:eastAsia="仿宋_GB2312" w:cs="Times New Roman"/>
          <w:color w:val="auto"/>
          <w:sz w:val="32"/>
          <w:szCs w:val="32"/>
        </w:rPr>
        <w:t>不超过80万元，同一项目连续资助不超过5年。开支范围包括：专家交通费、专家工薪、专家咨询费（讲课费）、专家补贴、专家住宿费、人才引进服务费、翻译费和其他费用。</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专家交通费：指国（境）外专家因来川工作产生的在国（境）外出发地（返程地）和中国入（出）境口岸之间的国际机票或其他交通费用，以及在中国境内城市之间或市内因工作需要乘坐交通工具所发生的费用。在可靠、便利、节俭的原则下，根据专家层次、健康状况、工作需要选择交通工具和座位等级。</w:t>
      </w:r>
    </w:p>
    <w:p>
      <w:pPr>
        <w:keepNext w:val="0"/>
        <w:keepLines w:val="0"/>
        <w:pageBreakBefore w:val="0"/>
        <w:suppressAutoHyphens/>
        <w:kinsoku/>
        <w:wordWrap/>
        <w:overflowPunct/>
        <w:topLinePunct w:val="0"/>
        <w:autoSpaceDE w:val="0"/>
        <w:autoSpaceDN w:val="0"/>
        <w:bidi w:val="0"/>
        <w:snapToGrid/>
        <w:ind w:firstLine="632" w:firstLineChars="200"/>
        <w:textAlignment w:val="auto"/>
        <w:rPr>
          <w:rFonts w:hint="default" w:ascii="Times New Roman" w:hAnsi="Times New Roman" w:eastAsia="仿宋_GB2312" w:cs="Times New Roman"/>
          <w:color w:val="auto"/>
          <w:spacing w:val="4"/>
          <w:w w:val="95"/>
          <w:kern w:val="0"/>
          <w:sz w:val="32"/>
          <w:szCs w:val="32"/>
          <w:lang w:val="zh-CN" w:bidi="zh-CN"/>
        </w:rPr>
      </w:pPr>
      <w:r>
        <w:rPr>
          <w:rFonts w:hint="default" w:ascii="Times New Roman" w:hAnsi="Times New Roman" w:eastAsia="仿宋_GB2312" w:cs="Times New Roman"/>
          <w:color w:val="auto"/>
          <w:sz w:val="32"/>
          <w:szCs w:val="32"/>
        </w:rPr>
        <w:t>（二）专家工薪：指项目单位与国（境）外专家通过签订劳动合同（劳务合同）</w:t>
      </w:r>
      <w:r>
        <w:rPr>
          <w:rFonts w:hint="default" w:ascii="Times New Roman" w:hAnsi="Times New Roman" w:eastAsia="仿宋_GB2312" w:cs="Times New Roman"/>
          <w:color w:val="auto"/>
          <w:spacing w:val="4"/>
          <w:w w:val="95"/>
          <w:kern w:val="0"/>
          <w:sz w:val="32"/>
          <w:szCs w:val="32"/>
          <w:lang w:val="zh-CN" w:bidi="zh-CN"/>
        </w:rPr>
        <w:t>或工作协议等方式约定的工作报酬。</w:t>
      </w:r>
      <w:r>
        <w:rPr>
          <w:rFonts w:hint="default" w:ascii="Times New Roman" w:hAnsi="Times New Roman" w:eastAsia="仿宋_GB2312" w:cs="Times New Roman"/>
          <w:color w:val="auto"/>
          <w:sz w:val="32"/>
          <w:szCs w:val="32"/>
        </w:rPr>
        <w:t>以合同或协议</w:t>
      </w:r>
      <w:r>
        <w:rPr>
          <w:rFonts w:hint="default" w:ascii="Times New Roman" w:hAnsi="Times New Roman" w:eastAsia="仿宋_GB2312" w:cs="Times New Roman"/>
          <w:color w:val="auto"/>
          <w:spacing w:val="4"/>
          <w:w w:val="95"/>
          <w:kern w:val="0"/>
          <w:sz w:val="32"/>
          <w:szCs w:val="32"/>
          <w:lang w:val="zh-CN" w:bidi="zh-CN"/>
        </w:rPr>
        <w:t>约定为基础核准支持。对单</w:t>
      </w:r>
      <w:r>
        <w:rPr>
          <w:rFonts w:hint="eastAsia" w:ascii="仿宋_GB2312" w:hAnsi="仿宋_GB2312" w:eastAsia="仿宋_GB2312" w:cs="仿宋_GB2312"/>
          <w:color w:val="auto"/>
          <w:spacing w:val="4"/>
          <w:w w:val="95"/>
          <w:kern w:val="0"/>
          <w:sz w:val="32"/>
          <w:szCs w:val="32"/>
          <w:lang w:val="zh-CN" w:bidi="zh-CN"/>
        </w:rPr>
        <w:t>次来川工作90天以上的国（境）外专家，项目单位须与其签订劳动合同（劳务合同）或工作协议，</w:t>
      </w:r>
      <w:r>
        <w:rPr>
          <w:rFonts w:hint="default" w:ascii="Times New Roman" w:hAnsi="Times New Roman" w:eastAsia="仿宋_GB2312" w:cs="Times New Roman"/>
          <w:color w:val="auto"/>
          <w:spacing w:val="4"/>
          <w:w w:val="95"/>
          <w:kern w:val="0"/>
          <w:sz w:val="32"/>
          <w:szCs w:val="32"/>
          <w:lang w:val="zh-CN" w:bidi="zh-CN"/>
        </w:rPr>
        <w:t>资助其工薪。</w:t>
      </w:r>
    </w:p>
    <w:p>
      <w:pPr>
        <w:keepNext w:val="0"/>
        <w:keepLines w:val="0"/>
        <w:pageBreakBefore w:val="0"/>
        <w:suppressAutoHyphens/>
        <w:kinsoku/>
        <w:wordWrap/>
        <w:overflowPunct/>
        <w:topLinePunct w:val="0"/>
        <w:autoSpaceDE w:val="0"/>
        <w:autoSpaceDN w:val="0"/>
        <w:bidi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（三）专家咨询费（讲课费）：指未与项目单位建立劳动关系的国（境）外</w:t>
      </w:r>
      <w:r>
        <w:rPr>
          <w:rFonts w:hint="default" w:ascii="Times New Roman" w:hAnsi="Times New Roman" w:eastAsia="仿宋_GB2312" w:cs="Times New Roman"/>
          <w:color w:val="auto"/>
          <w:spacing w:val="4"/>
          <w:w w:val="95"/>
          <w:kern w:val="0"/>
          <w:sz w:val="32"/>
          <w:szCs w:val="32"/>
          <w:lang w:val="zh-CN" w:bidi="zh-CN"/>
        </w:rPr>
        <w:t>专家，因从事</w:t>
      </w:r>
      <w:r>
        <w:rPr>
          <w:rFonts w:hint="default" w:ascii="Times New Roman" w:hAnsi="Times New Roman" w:eastAsia="仿宋_GB2312" w:cs="Times New Roman"/>
          <w:color w:val="auto"/>
          <w:sz w:val="32"/>
          <w:szCs w:val="32"/>
        </w:rPr>
        <w:t>咨询、讲座、授课、技术服务等劳务取得的临时报酬。资助上限标准为</w:t>
      </w:r>
      <w:r>
        <w:rPr>
          <w:rFonts w:hint="default" w:ascii="Times New Roman" w:hAnsi="Times New Roman" w:eastAsia="仿宋_GB2312" w:cs="Times New Roman"/>
          <w:color w:val="auto"/>
          <w:sz w:val="32"/>
          <w:szCs w:val="32"/>
          <w:lang w:eastAsia="zh-CN"/>
        </w:rPr>
        <w:t>每人每次</w:t>
      </w:r>
      <w:r>
        <w:rPr>
          <w:rFonts w:hint="default" w:ascii="Times New Roman" w:hAnsi="Times New Roman" w:eastAsia="仿宋_GB2312" w:cs="Times New Roman"/>
          <w:color w:val="auto"/>
          <w:sz w:val="32"/>
          <w:szCs w:val="32"/>
        </w:rPr>
        <w:t>3000元。</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（四）专家补贴：指在项目单位从事短期（连续在川工作90天以内）工作，未签订劳动合同（劳务合同）</w:t>
      </w:r>
      <w:r>
        <w:rPr>
          <w:rFonts w:hint="default" w:ascii="Times New Roman" w:hAnsi="Times New Roman" w:eastAsia="仿宋_GB2312" w:cs="Times New Roman"/>
          <w:color w:val="auto"/>
          <w:spacing w:val="4"/>
          <w:w w:val="95"/>
          <w:kern w:val="0"/>
          <w:sz w:val="32"/>
          <w:szCs w:val="32"/>
          <w:lang w:val="zh-CN" w:bidi="zh-CN"/>
        </w:rPr>
        <w:t>或工作协议</w:t>
      </w:r>
      <w:r>
        <w:rPr>
          <w:rFonts w:hint="default" w:ascii="Times New Roman" w:hAnsi="Times New Roman" w:eastAsia="仿宋_GB2312" w:cs="Times New Roman"/>
          <w:color w:val="auto"/>
          <w:sz w:val="32"/>
          <w:szCs w:val="32"/>
        </w:rPr>
        <w:t>的国（境）外</w:t>
      </w:r>
      <w:r>
        <w:rPr>
          <w:rFonts w:hint="default" w:ascii="Times New Roman" w:hAnsi="Times New Roman" w:eastAsia="仿宋_GB2312" w:cs="Times New Roman"/>
          <w:color w:val="auto"/>
          <w:spacing w:val="4"/>
          <w:w w:val="95"/>
          <w:kern w:val="0"/>
          <w:sz w:val="32"/>
          <w:szCs w:val="32"/>
          <w:lang w:val="zh-CN" w:bidi="zh-CN"/>
        </w:rPr>
        <w:t>专家在川工作期间获取的生活补贴。</w:t>
      </w:r>
      <w:r>
        <w:rPr>
          <w:rFonts w:hint="default" w:ascii="Times New Roman" w:hAnsi="Times New Roman" w:eastAsia="仿宋_GB2312" w:cs="Times New Roman"/>
          <w:color w:val="auto"/>
          <w:sz w:val="32"/>
          <w:szCs w:val="32"/>
        </w:rPr>
        <w:t>资助上限标准为</w:t>
      </w:r>
      <w:r>
        <w:rPr>
          <w:rFonts w:hint="default" w:ascii="Times New Roman" w:hAnsi="Times New Roman" w:eastAsia="仿宋_GB2312" w:cs="Times New Roman"/>
          <w:color w:val="auto"/>
          <w:sz w:val="32"/>
          <w:szCs w:val="32"/>
          <w:lang w:eastAsia="zh-CN"/>
        </w:rPr>
        <w:t>每人每天</w:t>
      </w:r>
      <w:r>
        <w:rPr>
          <w:rFonts w:hint="default" w:ascii="Times New Roman" w:hAnsi="Times New Roman" w:eastAsia="仿宋_GB2312" w:cs="Times New Roman"/>
          <w:color w:val="auto"/>
          <w:sz w:val="32"/>
          <w:szCs w:val="32"/>
        </w:rPr>
        <w:t>1000元,按专家在川执行项目天数发放。</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（五）专家住宿费：指国（境）外专家在川工作期间实际发生的租房（住宿）费用，参照外宾接待相关管理规定执行。</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六）人才引进服务费：指项目单位通过人力资源服务机构全职引进符合条件的国（境）外专家所发生的服务费。资助额不超过服务费的50%，每家用人单位年度资助上限为30万元。项目申报前一年内成功引进国（境）外专家（来川工作前全职工作单位为国（境）外单位，与我省用人单位签约全职工作年限不少于三年且按时到岗履职依法纳税）的用人单位可以申请。</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（七）翻译费：指国（境）外专家执行项目聘请专业翻译（非项目单位在职员工）发生的翻译费。</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（八）其他费用：指国（境）外专家来川工作期间发生的技术资料费、突出贡献费和外国专家组织项目管理费。该项费用应根据项目指南的规定提出申请。</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（九）专家工薪、专家咨询费（讲课费）、专家补贴只能选择一种方式给予资助，发放应符合国家有关税法规定。专家工薪如已包括专家交通费、专家住宿费或其它相关费用，则不能重复支出。</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第六条</w:t>
      </w:r>
      <w:r>
        <w:rPr>
          <w:rFonts w:hint="default" w:ascii="Times New Roman" w:hAnsi="Times New Roman" w:eastAsia="仿宋_GB2312" w:cs="Times New Roman"/>
          <w:b/>
          <w:bCs/>
          <w:color w:val="auto"/>
          <w:sz w:val="32"/>
          <w:szCs w:val="32"/>
          <w:lang w:val="en"/>
        </w:rPr>
        <w:t xml:space="preserve"> </w:t>
      </w:r>
      <w:r>
        <w:rPr>
          <w:rFonts w:hint="default" w:ascii="Times New Roman" w:hAnsi="Times New Roman" w:eastAsia="仿宋_GB2312" w:cs="Times New Roman"/>
          <w:color w:val="auto"/>
          <w:sz w:val="32"/>
          <w:szCs w:val="32"/>
        </w:rPr>
        <w:t xml:space="preserve"> 省引智成果示范推广项目资助额度</w:t>
      </w:r>
      <w:r>
        <w:rPr>
          <w:rFonts w:hint="default" w:ascii="Times New Roman" w:hAnsi="Times New Roman" w:eastAsia="仿宋_GB2312" w:cs="Times New Roman"/>
          <w:color w:val="auto"/>
          <w:sz w:val="32"/>
          <w:szCs w:val="32"/>
          <w:lang w:eastAsia="zh-CN"/>
        </w:rPr>
        <w:t>每项</w:t>
      </w:r>
      <w:r>
        <w:rPr>
          <w:rFonts w:hint="default" w:ascii="Times New Roman" w:hAnsi="Times New Roman" w:eastAsia="仿宋_GB2312" w:cs="Times New Roman"/>
          <w:color w:val="auto"/>
          <w:sz w:val="32"/>
          <w:szCs w:val="32"/>
        </w:rPr>
        <w:t>不超过80万元。开支范围包括直接费用和间接费用，仅高校、院所、医疗机构牵头或参与并承担再研发任务的项目可开支间接费用。具体开支范围标准按照《四川省科技计划项目专项资金管理办法》有关规定执行。</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第七条</w:t>
      </w: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lang w:val="en"/>
        </w:rPr>
        <w:t xml:space="preserve"> </w:t>
      </w:r>
      <w:r>
        <w:rPr>
          <w:rFonts w:hint="default" w:ascii="Times New Roman" w:hAnsi="Times New Roman" w:eastAsia="仿宋_GB2312" w:cs="Times New Roman"/>
          <w:color w:val="auto"/>
          <w:sz w:val="32"/>
          <w:szCs w:val="32"/>
        </w:rPr>
        <w:t>省级引才引智基地（平台）建设项目资助额度</w:t>
      </w:r>
      <w:r>
        <w:rPr>
          <w:rFonts w:hint="default" w:ascii="Times New Roman" w:hAnsi="Times New Roman" w:eastAsia="仿宋_GB2312" w:cs="Times New Roman"/>
          <w:color w:val="auto"/>
          <w:sz w:val="32"/>
          <w:szCs w:val="32"/>
          <w:lang w:eastAsia="zh-CN"/>
        </w:rPr>
        <w:t>每项</w:t>
      </w:r>
      <w:r>
        <w:rPr>
          <w:rFonts w:hint="default" w:ascii="Times New Roman" w:hAnsi="Times New Roman" w:eastAsia="仿宋_GB2312" w:cs="Times New Roman"/>
          <w:color w:val="auto"/>
          <w:sz w:val="32"/>
          <w:szCs w:val="32"/>
        </w:rPr>
        <w:t>不超过80万元，根据备案基地（平台）考核情况，给予一次性经费支持，用于基地国（境）外高层次人才聚集、引才引智成果培育转化和推广、</w:t>
      </w:r>
      <w:r>
        <w:rPr>
          <w:rFonts w:hint="default" w:ascii="Times New Roman" w:hAnsi="Times New Roman" w:eastAsia="仿宋_GB2312" w:cs="Times New Roman"/>
          <w:color w:val="auto"/>
          <w:sz w:val="32"/>
          <w:szCs w:val="32"/>
          <w:lang w:eastAsia="zh-CN"/>
        </w:rPr>
        <w:t>国（境）外专家</w:t>
      </w:r>
      <w:r>
        <w:rPr>
          <w:rFonts w:hint="default" w:ascii="Times New Roman" w:hAnsi="Times New Roman" w:eastAsia="仿宋_GB2312" w:cs="Times New Roman"/>
          <w:color w:val="auto"/>
          <w:sz w:val="32"/>
          <w:szCs w:val="32"/>
        </w:rPr>
        <w:t>服务政策和体制机制创新。开支范围包括：聘请国（境）外人才费、引智成果示范推广费、</w:t>
      </w:r>
      <w:r>
        <w:rPr>
          <w:rFonts w:hint="default" w:ascii="Times New Roman" w:hAnsi="Times New Roman" w:eastAsia="仿宋_GB2312" w:cs="Times New Roman"/>
          <w:color w:val="auto"/>
          <w:sz w:val="32"/>
          <w:szCs w:val="32"/>
          <w:lang w:eastAsia="zh-CN"/>
        </w:rPr>
        <w:t>国（境）外专家</w:t>
      </w:r>
      <w:r>
        <w:rPr>
          <w:rFonts w:hint="default" w:ascii="Times New Roman" w:hAnsi="Times New Roman" w:eastAsia="仿宋_GB2312" w:cs="Times New Roman"/>
          <w:color w:val="auto"/>
          <w:sz w:val="32"/>
          <w:szCs w:val="32"/>
        </w:rPr>
        <w:t>科研经费、</w:t>
      </w:r>
      <w:r>
        <w:rPr>
          <w:rFonts w:hint="default" w:ascii="Times New Roman" w:hAnsi="Times New Roman" w:eastAsia="仿宋_GB2312" w:cs="Times New Roman"/>
          <w:color w:val="auto"/>
          <w:sz w:val="32"/>
          <w:szCs w:val="32"/>
          <w:lang w:eastAsia="zh-CN"/>
        </w:rPr>
        <w:t>国（境）外专家</w:t>
      </w:r>
      <w:r>
        <w:rPr>
          <w:rFonts w:hint="default" w:ascii="Times New Roman" w:hAnsi="Times New Roman" w:eastAsia="仿宋_GB2312" w:cs="Times New Roman"/>
          <w:color w:val="auto"/>
          <w:sz w:val="32"/>
          <w:szCs w:val="32"/>
        </w:rPr>
        <w:t>服务费、人才智力资源拓展费。</w:t>
      </w:r>
    </w:p>
    <w:p>
      <w:pPr>
        <w:keepNext w:val="0"/>
        <w:keepLines w:val="0"/>
        <w:pageBreakBefore w:val="0"/>
        <w:numPr>
          <w:ilvl w:val="0"/>
          <w:numId w:val="1"/>
        </w:numPr>
        <w:suppressAutoHyphens/>
        <w:kinsoku/>
        <w:wordWrap/>
        <w:overflowPunct/>
        <w:topLinePunct w:val="0"/>
        <w:bidi w:val="0"/>
        <w:adjustRightInd w:val="0"/>
        <w:snapToGrid/>
        <w:ind w:firstLine="632" w:firstLineChars="200"/>
        <w:textAlignment w:val="auto"/>
        <w:rPr>
          <w:rFonts w:hint="eastAsia" w:ascii="仿宋_GB2312" w:hAnsi="仿宋_GB2312" w:eastAsia="仿宋_GB2312" w:cs="仿宋_GB2312"/>
          <w:color w:val="auto"/>
          <w:sz w:val="32"/>
          <w:szCs w:val="32"/>
        </w:rPr>
      </w:pPr>
      <w:r>
        <w:rPr>
          <w:rFonts w:hint="default" w:ascii="Times New Roman" w:hAnsi="Times New Roman" w:eastAsia="仿宋_GB2312" w:cs="Times New Roman"/>
          <w:color w:val="auto"/>
          <w:sz w:val="32"/>
          <w:szCs w:val="32"/>
        </w:rPr>
        <w:t>聘请国（境）外人才费、引智成</w:t>
      </w:r>
      <w:r>
        <w:rPr>
          <w:rFonts w:hint="eastAsia" w:ascii="仿宋_GB2312" w:hAnsi="仿宋_GB2312" w:eastAsia="仿宋_GB2312" w:cs="仿宋_GB2312"/>
          <w:color w:val="auto"/>
          <w:sz w:val="32"/>
          <w:szCs w:val="32"/>
        </w:rPr>
        <w:t>果示范推广费开支范围按照本办法第五条、第六条执行。</w:t>
      </w:r>
    </w:p>
    <w:p>
      <w:pPr>
        <w:keepNext w:val="0"/>
        <w:keepLines w:val="0"/>
        <w:pageBreakBefore w:val="0"/>
        <w:numPr>
          <w:ilvl w:val="0"/>
          <w:numId w:val="1"/>
        </w:numPr>
        <w:suppressAutoHyphens/>
        <w:kinsoku/>
        <w:wordWrap/>
        <w:overflowPunct/>
        <w:topLinePunct w:val="0"/>
        <w:bidi w:val="0"/>
        <w:adjustRightInd w:val="0"/>
        <w:snapToGrid/>
        <w:ind w:firstLine="632"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国（境）外</w:t>
      </w:r>
      <w:r>
        <w:rPr>
          <w:rFonts w:hint="eastAsia" w:ascii="仿宋_GB2312" w:hAnsi="仿宋_GB2312" w:eastAsia="仿宋_GB2312" w:cs="仿宋_GB2312"/>
          <w:color w:val="auto"/>
          <w:sz w:val="32"/>
          <w:szCs w:val="32"/>
        </w:rPr>
        <w:t>专家科研经费：指基地聘请的</w:t>
      </w:r>
      <w:r>
        <w:rPr>
          <w:rFonts w:hint="eastAsia" w:ascii="仿宋_GB2312" w:hAnsi="仿宋_GB2312" w:eastAsia="仿宋_GB2312" w:cs="仿宋_GB2312"/>
          <w:color w:val="auto"/>
          <w:sz w:val="32"/>
          <w:szCs w:val="32"/>
          <w:lang w:eastAsia="zh-CN"/>
        </w:rPr>
        <w:t>国（境）外</w:t>
      </w:r>
      <w:r>
        <w:rPr>
          <w:rFonts w:hint="eastAsia" w:ascii="仿宋_GB2312" w:hAnsi="仿宋_GB2312" w:eastAsia="仿宋_GB2312" w:cs="仿宋_GB2312"/>
          <w:color w:val="auto"/>
          <w:sz w:val="32"/>
          <w:szCs w:val="32"/>
        </w:rPr>
        <w:t>专家开展与科技创新相关的活动支出，具体开支范围标准按照《四川省科技计划项目专项资金管理办法》有关规定执行。</w:t>
      </w:r>
    </w:p>
    <w:p>
      <w:pPr>
        <w:keepNext w:val="0"/>
        <w:keepLines w:val="0"/>
        <w:pageBreakBefore w:val="0"/>
        <w:numPr>
          <w:ilvl w:val="0"/>
          <w:numId w:val="1"/>
        </w:numPr>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国（境）外专家服务费：指基地建设外国专家（人才）之家、外国专家工作站等服务平台，面向在川重点国（境）外专家开展语言培训、文化体验、法律咨询、政策宣介等促进其社会融入的活动支出，包括师资费、资料费、住宿费、伙食费、交通费等。师资费、资料费参照省直机关培训费管理办法相关规定执行，住宿费、伙食费、交通费参照省级单位外宾接待经费管理办法执行。</w:t>
      </w:r>
    </w:p>
    <w:p>
      <w:pPr>
        <w:keepNext w:val="0"/>
        <w:keepLines w:val="0"/>
        <w:pageBreakBefore w:val="0"/>
        <w:numPr>
          <w:ilvl w:val="0"/>
          <w:numId w:val="1"/>
        </w:numPr>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人才智力资源拓展费：指基地开展国（境）外高层次人才和智力成果搜寻，人才资源和智力成果库建设，国（境）外人才智力资源洽谈对接、国（境）外智力成果推介等促进人才智力资源供需精准匹配的经费支出，以会议形式开展活动参照省直机关会议费管理办法执行。</w:t>
      </w:r>
    </w:p>
    <w:p>
      <w:pPr>
        <w:keepNext w:val="0"/>
        <w:keepLines w:val="0"/>
        <w:pageBreakBefore w:val="0"/>
        <w:suppressAutoHyphens/>
        <w:kinsoku/>
        <w:wordWrap/>
        <w:overflowPunct/>
        <w:topLinePunct w:val="0"/>
        <w:bidi w:val="0"/>
        <w:adjustRightInd w:val="0"/>
        <w:snapToGrid/>
        <w:textAlignment w:val="auto"/>
        <w:rPr>
          <w:rFonts w:hint="default" w:ascii="Times New Roman" w:hAnsi="Times New Roman" w:eastAsia="仿宋_GB2312" w:cs="Times New Roman"/>
          <w:color w:val="auto"/>
          <w:sz w:val="32"/>
          <w:szCs w:val="32"/>
        </w:rPr>
      </w:pPr>
    </w:p>
    <w:p>
      <w:pPr>
        <w:keepNext w:val="0"/>
        <w:keepLines w:val="0"/>
        <w:pageBreakBefore w:val="0"/>
        <w:numPr>
          <w:ilvl w:val="0"/>
          <w:numId w:val="2"/>
        </w:numPr>
        <w:suppressAutoHyphens/>
        <w:kinsoku/>
        <w:wordWrap/>
        <w:overflowPunct/>
        <w:topLinePunct w:val="0"/>
        <w:bidi w:val="0"/>
        <w:adjustRightInd w:val="0"/>
        <w:snapToGrid/>
        <w:jc w:val="center"/>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资助方式与执行管理</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第八条 </w:t>
      </w:r>
      <w:r>
        <w:rPr>
          <w:rFonts w:hint="default" w:ascii="Times New Roman" w:hAnsi="Times New Roman" w:eastAsia="仿宋_GB2312" w:cs="Times New Roman"/>
          <w:bCs/>
          <w:color w:val="auto"/>
          <w:sz w:val="32"/>
          <w:szCs w:val="32"/>
        </w:rPr>
        <w:t xml:space="preserve"> </w:t>
      </w:r>
      <w:r>
        <w:rPr>
          <w:rFonts w:hint="default" w:ascii="Times New Roman" w:hAnsi="Times New Roman" w:eastAsia="仿宋_GB2312" w:cs="Times New Roman"/>
          <w:color w:val="auto"/>
          <w:sz w:val="32"/>
          <w:szCs w:val="32"/>
        </w:rPr>
        <w:t>引智经费采取前补助和后补助两种支持方式。具体资助方式在项目申报指南中予以明确。</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第九条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前补助项目应按照政策相关性、目标相符性和经济合理性原则，根据资金开支范围确定的支出科目，科学、合理、真实地编制项目预算。</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后补助项目经费不得用于支付各类罚款、捐款、赞助、投资、偿还债务等支出，不得用于编制内在职人员工资性支出和离退休人员离退休费，以及国家规定禁止列支的其他支出。</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 xml:space="preserve">第十一条 </w:t>
      </w:r>
      <w:r>
        <w:rPr>
          <w:rFonts w:hint="default" w:ascii="Times New Roman" w:hAnsi="Times New Roman" w:eastAsia="仿宋_GB2312" w:cs="Times New Roman"/>
          <w:color w:val="auto"/>
          <w:sz w:val="32"/>
          <w:szCs w:val="32"/>
        </w:rPr>
        <w:t xml:space="preserve"> 经批准后的引智经费预算，</w:t>
      </w:r>
      <w:r>
        <w:rPr>
          <w:rFonts w:hint="default" w:ascii="Times New Roman" w:hAnsi="Times New Roman" w:eastAsia="仿宋_GB2312" w:cs="Times New Roman"/>
          <w:color w:val="auto"/>
          <w:sz w:val="32"/>
          <w:szCs w:val="32"/>
          <w:lang w:eastAsia="zh-CN"/>
        </w:rPr>
        <w:t>由科技厅按照国库集中支付制度和项目管理的有关规定下达。</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第十二条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引智经费一经批复下达，各级财政部门不得滞留、截留、挪用。引智经费应当纳入项目单位财务统一管理，实行单独核算，确保专款专用。项目单位应遵循“谁使用、谁负责”的原则，切实履行经费执行主体责任，严格按照规定的开支范围和标准使用经费，不得擅自改变经费的用途，不得以虚报造假等方式套取、冒领经费。</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第十三条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lang w:eastAsia="zh-CN"/>
        </w:rPr>
        <w:t>前补助项目实施期间，年度剩余资金可结转下一年度继续使用。通过验收（审核评价）的项目，结余资金按规定留归项目单位使用，项目承担单位要将结余资金统筹安排用于后续引才引智活动直接支出，优先考虑原项目团队科研引才引智需求，并加强结余资金管理，健全结余资金盘活机制，加快资金使用进度。后补助项目经费由项目单位按照本办法相关条款规定自主安排使用。</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第十四条</w:t>
      </w:r>
      <w:r>
        <w:rPr>
          <w:rFonts w:hint="default" w:ascii="Times New Roman" w:hAnsi="Times New Roman" w:eastAsia="仿宋_GB2312" w:cs="Times New Roman"/>
          <w:b/>
          <w:bCs/>
          <w:color w:val="auto"/>
          <w:sz w:val="32"/>
          <w:szCs w:val="32"/>
          <w:lang w:val="en"/>
        </w:rPr>
        <w:t xml:space="preserve"> </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lang w:eastAsia="zh-CN"/>
        </w:rPr>
        <w:t>国（境）外高端人才项目在执行期间，不得提取管理费，预算总额不得调增。项目经费可按规定的标准，在开支范围中调剂使用。科目间经费调剂应根据项目执行的实际需要进行。</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第十五条</w:t>
      </w:r>
      <w:r>
        <w:rPr>
          <w:rFonts w:hint="default" w:ascii="Times New Roman" w:hAnsi="Times New Roman" w:eastAsia="黑体" w:cs="Times New Roman"/>
          <w:color w:val="auto"/>
          <w:sz w:val="32"/>
          <w:szCs w:val="32"/>
        </w:rPr>
        <w:t xml:space="preserve"> </w:t>
      </w:r>
      <w:r>
        <w:rPr>
          <w:rFonts w:hint="default" w:ascii="Times New Roman" w:hAnsi="Times New Roman" w:eastAsia="黑体" w:cs="Times New Roman"/>
          <w:color w:val="auto"/>
          <w:sz w:val="32"/>
          <w:szCs w:val="32"/>
          <w:lang w:val="en"/>
        </w:rPr>
        <w:t xml:space="preserve"> </w:t>
      </w:r>
      <w:r>
        <w:rPr>
          <w:rFonts w:hint="default" w:ascii="Times New Roman" w:hAnsi="Times New Roman" w:eastAsia="仿宋_GB2312" w:cs="Times New Roman"/>
          <w:color w:val="auto"/>
          <w:sz w:val="32"/>
          <w:szCs w:val="32"/>
          <w:lang w:eastAsia="zh-CN"/>
        </w:rPr>
        <w:t>国（境）外高端人才引进项目专家交通费、专家住宿费应有记账凭证及行程单、住宿发票（租房合同和有效票据）等；专家工薪应有记账凭证及合同（协议）、银行转账回执单等；人才引进服务费应有记账凭证及人力资源服务机构与用人单位签署的推荐人才协议和服务费发票等；专家咨询费（讲课费）、专家补贴、翻译费、其他费用应有记账凭证及支付佐证票据。以上材料由项目单位永久留存备查。支付给专家本人的费用，原则上应通过银行转账方式支付</w:t>
      </w:r>
      <w:r>
        <w:rPr>
          <w:rFonts w:hint="default" w:ascii="Times New Roman" w:hAnsi="Times New Roman" w:eastAsia="仿宋_GB2312" w:cs="Times New Roman"/>
          <w:color w:val="auto"/>
          <w:sz w:val="32"/>
          <w:szCs w:val="32"/>
        </w:rPr>
        <w:t>。</w:t>
      </w:r>
    </w:p>
    <w:p>
      <w:pPr>
        <w:keepNext w:val="0"/>
        <w:keepLines w:val="0"/>
        <w:pageBreakBefore w:val="0"/>
        <w:suppressAutoHyphens/>
        <w:kinsoku/>
        <w:wordWrap/>
        <w:overflowPunct/>
        <w:topLinePunct w:val="0"/>
        <w:bidi w:val="0"/>
        <w:adjustRightInd w:val="0"/>
        <w:snapToGrid/>
        <w:ind w:firstLine="632"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第十六条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在项目单位海外设立的研发机构等工作，以及提供海外远程咨询指导等服务的国（境）外专家，项目单位可按照相关科研、教学、技术指导等实际工作量进行核算，支付专家工薪或专家咨询费（讲课费）或专家补贴，并可按规定支付项目执行期间发生的翻译费。</w:t>
      </w:r>
    </w:p>
    <w:p>
      <w:pPr>
        <w:keepNext w:val="0"/>
        <w:keepLines w:val="0"/>
        <w:pageBreakBefore w:val="0"/>
        <w:suppressAutoHyphens/>
        <w:kinsoku/>
        <w:wordWrap/>
        <w:overflowPunct/>
        <w:topLinePunct w:val="0"/>
        <w:bidi w:val="0"/>
        <w:adjustRightInd w:val="0"/>
        <w:snapToGrid/>
        <w:textAlignment w:val="auto"/>
        <w:rPr>
          <w:rFonts w:hint="default" w:ascii="Times New Roman" w:hAnsi="Times New Roman" w:eastAsia="仿宋_GB2312" w:cs="Times New Roman"/>
          <w:color w:val="auto"/>
          <w:sz w:val="32"/>
          <w:szCs w:val="32"/>
        </w:rPr>
      </w:pPr>
    </w:p>
    <w:p>
      <w:pPr>
        <w:keepNext w:val="0"/>
        <w:keepLines w:val="0"/>
        <w:pageBreakBefore w:val="0"/>
        <w:suppressAutoHyphens/>
        <w:kinsoku/>
        <w:wordWrap/>
        <w:overflowPunct/>
        <w:topLinePunct w:val="0"/>
        <w:bidi w:val="0"/>
        <w:adjustRightInd w:val="0"/>
        <w:snapToGrid/>
        <w:jc w:val="center"/>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第四章  绩效评价与监督检查</w:t>
      </w:r>
    </w:p>
    <w:p>
      <w:pPr>
        <w:keepNext w:val="0"/>
        <w:keepLines w:val="0"/>
        <w:pageBreakBefore w:val="0"/>
        <w:suppressAutoHyphens/>
        <w:kinsoku/>
        <w:wordWrap/>
        <w:overflowPunct/>
        <w:topLinePunct w:val="0"/>
        <w:bidi w:val="0"/>
        <w:adjustRightInd w:val="0"/>
        <w:snapToGrid/>
        <w:ind w:firstLine="632"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 xml:space="preserve">第十七条 </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lang w:eastAsia="zh-CN"/>
        </w:rPr>
        <w:t>前补助项目在项目期满后要及时上报审核评价材料或按照规定组织验收。各级科技和财政主管部门对项目实施情况和资金管理使用情况进行评价和监督检查。评价和检查结果将作为以后年度项目安排的重要参考依据。</w:t>
      </w:r>
    </w:p>
    <w:p>
      <w:pPr>
        <w:keepNext w:val="0"/>
        <w:keepLines w:val="0"/>
        <w:pageBreakBefore w:val="0"/>
        <w:suppressAutoHyphens/>
        <w:kinsoku/>
        <w:wordWrap/>
        <w:overflowPunct/>
        <w:topLinePunct w:val="0"/>
        <w:bidi w:val="0"/>
        <w:adjustRightInd w:val="0"/>
        <w:snapToGrid/>
        <w:ind w:firstLine="632"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第十八条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eastAsia="zh-CN"/>
        </w:rPr>
        <w:t>项目单位应严格执行国家和省有关财务规定，切实履行经费执行主体责任，建立健全项目资金内部管理制度和报销规定，明确内部管理权限和审批程序，确保资金使用安全规范有效。</w:t>
      </w:r>
    </w:p>
    <w:p>
      <w:pPr>
        <w:keepNext w:val="0"/>
        <w:keepLines w:val="0"/>
        <w:pageBreakBefore w:val="0"/>
        <w:widowControl/>
        <w:suppressAutoHyphens/>
        <w:kinsoku/>
        <w:wordWrap/>
        <w:overflowPunct/>
        <w:topLinePunct w:val="0"/>
        <w:bidi w:val="0"/>
        <w:adjustRightInd w:val="0"/>
        <w:snapToGrid/>
        <w:ind w:firstLine="632" w:firstLineChars="200"/>
        <w:jc w:val="left"/>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b/>
          <w:bCs/>
          <w:color w:val="auto"/>
          <w:sz w:val="32"/>
          <w:szCs w:val="32"/>
        </w:rPr>
        <w:t>第十九条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lang w:eastAsia="zh-CN"/>
        </w:rPr>
        <w:t>引智经费必须专款专用，资金的申报、实施和使用依法接受相关职能部门的监督。对以弄虚作假等手段套骗取资金以及挤占挪用资金等违法违规行为的，按照《财政违法行为处罚处分条例》等法律法规规定处理。涉嫌犯罪的，依法移送司法机关处理。</w:t>
      </w:r>
    </w:p>
    <w:p>
      <w:pPr>
        <w:keepNext w:val="0"/>
        <w:keepLines w:val="0"/>
        <w:pageBreakBefore w:val="0"/>
        <w:widowControl/>
        <w:suppressAutoHyphens/>
        <w:kinsoku/>
        <w:wordWrap/>
        <w:overflowPunct/>
        <w:topLinePunct w:val="0"/>
        <w:bidi w:val="0"/>
        <w:adjustRightInd w:val="0"/>
        <w:snapToGrid/>
        <w:ind w:firstLine="632" w:firstLineChars="200"/>
        <w:jc w:val="left"/>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suppressAutoHyphens/>
        <w:kinsoku/>
        <w:wordWrap/>
        <w:overflowPunct/>
        <w:topLinePunct w:val="0"/>
        <w:bidi w:val="0"/>
        <w:adjustRightInd w:val="0"/>
        <w:snapToGrid/>
        <w:ind w:firstLine="632" w:firstLineChars="200"/>
        <w:jc w:val="center"/>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黑体" w:cs="Times New Roman"/>
          <w:bCs/>
          <w:color w:val="auto"/>
          <w:sz w:val="32"/>
          <w:szCs w:val="32"/>
        </w:rPr>
        <w:t>第五章 附则</w:t>
      </w:r>
    </w:p>
    <w:p>
      <w:pPr>
        <w:keepNext w:val="0"/>
        <w:keepLines w:val="0"/>
        <w:pageBreakBefore w:val="0"/>
        <w:widowControl/>
        <w:suppressAutoHyphens/>
        <w:kinsoku/>
        <w:wordWrap/>
        <w:overflowPunct/>
        <w:topLinePunct w:val="0"/>
        <w:bidi w:val="0"/>
        <w:adjustRightInd w:val="0"/>
        <w:snapToGrid/>
        <w:ind w:firstLine="632"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rPr>
        <w:t>第二十条</w:t>
      </w:r>
      <w:r>
        <w:rPr>
          <w:rFonts w:hint="default" w:ascii="Times New Roman" w:hAnsi="Times New Roman" w:eastAsia="黑体" w:cs="Times New Roman"/>
          <w:color w:val="auto"/>
          <w:sz w:val="32"/>
          <w:szCs w:val="32"/>
        </w:rPr>
        <w:t xml:space="preserve"> </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lang w:eastAsia="zh-CN"/>
        </w:rPr>
        <w:t>本办法由科技厅负责解释。</w:t>
      </w:r>
    </w:p>
    <w:p>
      <w:pPr>
        <w:keepNext w:val="0"/>
        <w:keepLines w:val="0"/>
        <w:pageBreakBefore w:val="0"/>
        <w:suppressAutoHyphens/>
        <w:kinsoku/>
        <w:wordWrap/>
        <w:overflowPunct/>
        <w:topLinePunct w:val="0"/>
        <w:bidi w:val="0"/>
        <w:adjustRightInd w:val="0"/>
        <w:snapToGrid/>
        <w:ind w:firstLine="632" w:firstLineChars="200"/>
        <w:jc w:val="left"/>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b/>
          <w:bCs/>
          <w:color w:val="auto"/>
          <w:sz w:val="32"/>
          <w:szCs w:val="32"/>
        </w:rPr>
        <w:t>第二十一条</w:t>
      </w:r>
      <w:r>
        <w:rPr>
          <w:rFonts w:hint="default" w:ascii="Times New Roman" w:hAnsi="Times New Roman" w:eastAsia="仿宋_GB2312" w:cs="Times New Roman"/>
          <w:color w:val="auto"/>
          <w:kern w:val="0"/>
          <w:sz w:val="32"/>
          <w:szCs w:val="32"/>
        </w:rPr>
        <w:t xml:space="preserve">  </w:t>
      </w:r>
      <w:r>
        <w:rPr>
          <w:rFonts w:hint="default" w:ascii="Times New Roman" w:hAnsi="Times New Roman" w:eastAsia="仿宋_GB2312" w:cs="Times New Roman"/>
          <w:color w:val="auto"/>
          <w:sz w:val="32"/>
          <w:szCs w:val="32"/>
          <w:lang w:eastAsia="zh-CN"/>
        </w:rPr>
        <w:t>本办法自2021年</w:t>
      </w:r>
      <w:r>
        <w:rPr>
          <w:rFonts w:hint="default" w:ascii="Times New Roman" w:hAnsi="Times New Roman" w:eastAsia="仿宋_GB2312" w:cs="Times New Roman"/>
          <w:color w:val="auto"/>
          <w:sz w:val="32"/>
          <w:szCs w:val="32"/>
          <w:lang w:val="en-US" w:eastAsia="zh-CN"/>
        </w:rPr>
        <w:t>11</w:t>
      </w:r>
      <w:r>
        <w:rPr>
          <w:rFonts w:hint="default" w:ascii="Times New Roman" w:hAnsi="Times New Roman" w:eastAsia="仿宋_GB2312" w:cs="Times New Roman"/>
          <w:color w:val="auto"/>
          <w:sz w:val="32"/>
          <w:szCs w:val="32"/>
          <w:lang w:eastAsia="zh-CN"/>
        </w:rPr>
        <w:t>月</w:t>
      </w:r>
      <w:r>
        <w:rPr>
          <w:rFonts w:hint="default"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eastAsia="zh-CN"/>
        </w:rPr>
        <w:t>日起施行，有效期</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年。《四川省省级引进国（境）外人才专项经费管理办法》（川人社办发〔2015〕88号）同时废止。</w:t>
      </w:r>
    </w:p>
    <w:p>
      <w:pPr>
        <w:pStyle w:val="2"/>
        <w:rPr>
          <w:rFonts w:hint="default" w:ascii="Times New Roman" w:hAnsi="Times New Roman" w:cs="Times New Roman"/>
          <w:color w:val="auto"/>
          <w:kern w:val="0"/>
          <w:sz w:val="32"/>
          <w:szCs w:val="32"/>
        </w:rPr>
      </w:pPr>
    </w:p>
    <w:p>
      <w:pPr>
        <w:pStyle w:val="3"/>
        <w:rPr>
          <w:rFonts w:hint="default" w:ascii="Times New Roman" w:hAnsi="Times New Roman" w:cs="Times New Roman"/>
        </w:rPr>
      </w:pPr>
    </w:p>
    <w:p>
      <w:pPr>
        <w:pBdr>
          <w:top w:val="single" w:color="auto" w:sz="4" w:space="1"/>
          <w:bottom w:val="single" w:color="auto" w:sz="4" w:space="1"/>
        </w:pBdr>
        <w:spacing w:line="560" w:lineRule="exact"/>
        <w:ind w:firstLine="138" w:firstLineChars="50"/>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四川省科学技术厅办公室                    202</w:t>
      </w:r>
      <w:r>
        <w:rPr>
          <w:rFonts w:hint="default" w:ascii="Times New Roman" w:hAnsi="Times New Roman" w:cs="Times New Roman"/>
          <w:sz w:val="28"/>
          <w:szCs w:val="28"/>
          <w:lang w:val="en-US" w:eastAsia="zh-CN"/>
        </w:rPr>
        <w:t>1</w:t>
      </w:r>
      <w:r>
        <w:rPr>
          <w:rFonts w:hint="default" w:ascii="Times New Roman" w:hAnsi="Times New Roman" w:eastAsia="仿宋_GB2312" w:cs="Times New Roman"/>
          <w:sz w:val="28"/>
          <w:szCs w:val="28"/>
        </w:rPr>
        <w:t>年</w:t>
      </w:r>
      <w:r>
        <w:rPr>
          <w:rFonts w:hint="default" w:ascii="Times New Roman" w:hAnsi="Times New Roman" w:cs="Times New Roman"/>
          <w:sz w:val="28"/>
          <w:szCs w:val="28"/>
          <w:lang w:val="en-US" w:eastAsia="zh-CN"/>
        </w:rPr>
        <w:t>10</w:t>
      </w:r>
      <w:r>
        <w:rPr>
          <w:rFonts w:hint="default" w:ascii="Times New Roman" w:hAnsi="Times New Roman" w:eastAsia="仿宋_GB2312" w:cs="Times New Roman"/>
          <w:sz w:val="28"/>
          <w:szCs w:val="28"/>
        </w:rPr>
        <w:t>月</w:t>
      </w:r>
      <w:r>
        <w:rPr>
          <w:rFonts w:hint="default" w:ascii="Times New Roman" w:hAnsi="Times New Roman" w:cs="Times New Roman"/>
          <w:sz w:val="28"/>
          <w:szCs w:val="28"/>
          <w:lang w:val="en" w:eastAsia="zh-CN"/>
        </w:rPr>
        <w:t>25</w:t>
      </w:r>
      <w:r>
        <w:rPr>
          <w:rFonts w:hint="default" w:ascii="Times New Roman" w:hAnsi="Times New Roman" w:eastAsia="仿宋_GB2312" w:cs="Times New Roman"/>
          <w:sz w:val="28"/>
          <w:szCs w:val="28"/>
        </w:rPr>
        <w:t>日印发</w:t>
      </w:r>
    </w:p>
    <w:sectPr>
      <w:headerReference r:id="rId3" w:type="default"/>
      <w:footerReference r:id="rId4" w:type="default"/>
      <w:pgSz w:w="11906" w:h="16838"/>
      <w:pgMar w:top="2098" w:right="1474" w:bottom="1984" w:left="1587" w:header="851" w:footer="1531" w:gutter="0"/>
      <w:pgNumType w:fmt="decimal"/>
      <w:cols w:space="0" w:num="1"/>
      <w:rtlGutter w:val="0"/>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0000000" w:usb3="00000000" w:csb0="000000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86"/>
    <w:family w:val="auto"/>
    <w:pitch w:val="default"/>
    <w:sig w:usb0="00000000" w:usb1="00000000" w:usb2="00000010" w:usb3="00000000" w:csb0="00040000" w:csb1="00000000"/>
  </w:font>
  <w:font w:name="等线 Light">
    <w:altName w:val="仿宋"/>
    <w:panose1 w:val="00000000000000000000"/>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270"/>
      <w:jc w:val="right"/>
      <w:rPr>
        <w:rFonts w:hint="default" w:ascii="Times New Roman" w:hAnsi="Times New Roman" w:cs="Times New Roman"/>
        <w:sz w:val="24"/>
        <w:szCs w:val="24"/>
      </w:rPr>
    </w:pPr>
    <w:r>
      <w:rPr>
        <w:sz w:val="24"/>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18"/>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EE5CB6"/>
    <w:multiLevelType w:val="singleLevel"/>
    <w:tmpl w:val="A9EE5CB6"/>
    <w:lvl w:ilvl="0" w:tentative="0">
      <w:start w:val="3"/>
      <w:numFmt w:val="chineseCounting"/>
      <w:suff w:val="space"/>
      <w:lvlText w:val="第%1章"/>
      <w:lvlJc w:val="left"/>
      <w:rPr>
        <w:rFonts w:hint="eastAsia"/>
      </w:rPr>
    </w:lvl>
  </w:abstractNum>
  <w:abstractNum w:abstractNumId="1">
    <w:nsid w:val="BCD4BDDA"/>
    <w:multiLevelType w:val="singleLevel"/>
    <w:tmpl w:val="BCD4BDD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hideSpellingErrors/>
  <w:documentProtection w:enforcement="0"/>
  <w:defaultTabStop w:val="420"/>
  <w:drawingGridHorizontalSpacing w:val="158"/>
  <w:drawingGridVerticalSpacing w:val="290"/>
  <w:displayHorizontalDrawingGridEvery w:val="2"/>
  <w:displayVerticalDrawingGridEvery w:val="2"/>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4B2553"/>
    <w:rsid w:val="000003EE"/>
    <w:rsid w:val="00001F77"/>
    <w:rsid w:val="0000472E"/>
    <w:rsid w:val="00014BAC"/>
    <w:rsid w:val="00015038"/>
    <w:rsid w:val="000166A0"/>
    <w:rsid w:val="00022436"/>
    <w:rsid w:val="0002381F"/>
    <w:rsid w:val="00024F11"/>
    <w:rsid w:val="000269ED"/>
    <w:rsid w:val="000367BE"/>
    <w:rsid w:val="000373B4"/>
    <w:rsid w:val="0004182C"/>
    <w:rsid w:val="00043A2D"/>
    <w:rsid w:val="00044C79"/>
    <w:rsid w:val="00045E07"/>
    <w:rsid w:val="000521CF"/>
    <w:rsid w:val="000535AF"/>
    <w:rsid w:val="00056FA6"/>
    <w:rsid w:val="00060485"/>
    <w:rsid w:val="00060B9C"/>
    <w:rsid w:val="000611A3"/>
    <w:rsid w:val="0006168A"/>
    <w:rsid w:val="00061FD1"/>
    <w:rsid w:val="00062A55"/>
    <w:rsid w:val="00063753"/>
    <w:rsid w:val="00065FC5"/>
    <w:rsid w:val="00070C01"/>
    <w:rsid w:val="00076E9B"/>
    <w:rsid w:val="0008169D"/>
    <w:rsid w:val="00082DB2"/>
    <w:rsid w:val="00082E9B"/>
    <w:rsid w:val="0008476B"/>
    <w:rsid w:val="000920E8"/>
    <w:rsid w:val="00092340"/>
    <w:rsid w:val="00092D25"/>
    <w:rsid w:val="000931EF"/>
    <w:rsid w:val="000A0B8B"/>
    <w:rsid w:val="000A1556"/>
    <w:rsid w:val="000A2D5B"/>
    <w:rsid w:val="000A739D"/>
    <w:rsid w:val="000A7F5C"/>
    <w:rsid w:val="000B10C8"/>
    <w:rsid w:val="000B5F20"/>
    <w:rsid w:val="000B6119"/>
    <w:rsid w:val="000C4EF5"/>
    <w:rsid w:val="000C642A"/>
    <w:rsid w:val="000C7E89"/>
    <w:rsid w:val="000D3F67"/>
    <w:rsid w:val="000D48E6"/>
    <w:rsid w:val="000D5B79"/>
    <w:rsid w:val="000E1F66"/>
    <w:rsid w:val="000E546F"/>
    <w:rsid w:val="000E57DE"/>
    <w:rsid w:val="000E65BB"/>
    <w:rsid w:val="000E7484"/>
    <w:rsid w:val="000E7848"/>
    <w:rsid w:val="000E7F1F"/>
    <w:rsid w:val="000F1D2A"/>
    <w:rsid w:val="000F35D3"/>
    <w:rsid w:val="000F3DAC"/>
    <w:rsid w:val="00101E85"/>
    <w:rsid w:val="00104ABF"/>
    <w:rsid w:val="001051D1"/>
    <w:rsid w:val="00105C29"/>
    <w:rsid w:val="00113941"/>
    <w:rsid w:val="00113DC7"/>
    <w:rsid w:val="00123F36"/>
    <w:rsid w:val="00127812"/>
    <w:rsid w:val="0013057A"/>
    <w:rsid w:val="0013072F"/>
    <w:rsid w:val="0013150C"/>
    <w:rsid w:val="001339A2"/>
    <w:rsid w:val="00134990"/>
    <w:rsid w:val="00140439"/>
    <w:rsid w:val="00144845"/>
    <w:rsid w:val="00144CB2"/>
    <w:rsid w:val="00145149"/>
    <w:rsid w:val="00146484"/>
    <w:rsid w:val="00146E59"/>
    <w:rsid w:val="001479F7"/>
    <w:rsid w:val="00153F2C"/>
    <w:rsid w:val="001552CA"/>
    <w:rsid w:val="00163781"/>
    <w:rsid w:val="00180C10"/>
    <w:rsid w:val="00181436"/>
    <w:rsid w:val="00181911"/>
    <w:rsid w:val="001828AF"/>
    <w:rsid w:val="00184455"/>
    <w:rsid w:val="00186A3D"/>
    <w:rsid w:val="00191EA4"/>
    <w:rsid w:val="00197CFC"/>
    <w:rsid w:val="001A0149"/>
    <w:rsid w:val="001A123F"/>
    <w:rsid w:val="001A14A9"/>
    <w:rsid w:val="001A1FF5"/>
    <w:rsid w:val="001A2E33"/>
    <w:rsid w:val="001A3E6C"/>
    <w:rsid w:val="001A46C7"/>
    <w:rsid w:val="001B0051"/>
    <w:rsid w:val="001B21F9"/>
    <w:rsid w:val="001B4460"/>
    <w:rsid w:val="001B471C"/>
    <w:rsid w:val="001B562C"/>
    <w:rsid w:val="001B6F26"/>
    <w:rsid w:val="001C0166"/>
    <w:rsid w:val="001C0EF5"/>
    <w:rsid w:val="001C2C34"/>
    <w:rsid w:val="001C50CE"/>
    <w:rsid w:val="001C7240"/>
    <w:rsid w:val="001C7BFC"/>
    <w:rsid w:val="001E5539"/>
    <w:rsid w:val="001E64A2"/>
    <w:rsid w:val="001E6A12"/>
    <w:rsid w:val="001F0BA5"/>
    <w:rsid w:val="001F4691"/>
    <w:rsid w:val="001F630E"/>
    <w:rsid w:val="001F75E7"/>
    <w:rsid w:val="001F79DC"/>
    <w:rsid w:val="001F7A2D"/>
    <w:rsid w:val="00201718"/>
    <w:rsid w:val="00203EEB"/>
    <w:rsid w:val="00205136"/>
    <w:rsid w:val="002051EC"/>
    <w:rsid w:val="0020566E"/>
    <w:rsid w:val="00210598"/>
    <w:rsid w:val="00210B75"/>
    <w:rsid w:val="00214EE2"/>
    <w:rsid w:val="002170CE"/>
    <w:rsid w:val="00224CFF"/>
    <w:rsid w:val="0022527C"/>
    <w:rsid w:val="0023043A"/>
    <w:rsid w:val="00235126"/>
    <w:rsid w:val="00240796"/>
    <w:rsid w:val="00240E9A"/>
    <w:rsid w:val="00243A9D"/>
    <w:rsid w:val="0024652B"/>
    <w:rsid w:val="00246AC3"/>
    <w:rsid w:val="00247E14"/>
    <w:rsid w:val="0025125F"/>
    <w:rsid w:val="00251BFA"/>
    <w:rsid w:val="0025435A"/>
    <w:rsid w:val="002544D5"/>
    <w:rsid w:val="00254E0B"/>
    <w:rsid w:val="00260FD1"/>
    <w:rsid w:val="00262467"/>
    <w:rsid w:val="00262C80"/>
    <w:rsid w:val="0027280F"/>
    <w:rsid w:val="00277114"/>
    <w:rsid w:val="00277C63"/>
    <w:rsid w:val="0028357E"/>
    <w:rsid w:val="002839FF"/>
    <w:rsid w:val="00285DFC"/>
    <w:rsid w:val="002917B3"/>
    <w:rsid w:val="00296CB8"/>
    <w:rsid w:val="00296F50"/>
    <w:rsid w:val="00297163"/>
    <w:rsid w:val="002A16E4"/>
    <w:rsid w:val="002A29FB"/>
    <w:rsid w:val="002A4320"/>
    <w:rsid w:val="002A4EE7"/>
    <w:rsid w:val="002A7166"/>
    <w:rsid w:val="002B04F9"/>
    <w:rsid w:val="002B2D79"/>
    <w:rsid w:val="002B5434"/>
    <w:rsid w:val="002B72D2"/>
    <w:rsid w:val="002B7436"/>
    <w:rsid w:val="002C5A45"/>
    <w:rsid w:val="002D0109"/>
    <w:rsid w:val="002D0322"/>
    <w:rsid w:val="002D0FC1"/>
    <w:rsid w:val="002D207F"/>
    <w:rsid w:val="002D5800"/>
    <w:rsid w:val="002E025E"/>
    <w:rsid w:val="002E2BD7"/>
    <w:rsid w:val="002E6A33"/>
    <w:rsid w:val="002E6C17"/>
    <w:rsid w:val="002F0767"/>
    <w:rsid w:val="002F6126"/>
    <w:rsid w:val="002F7BB6"/>
    <w:rsid w:val="00300DC4"/>
    <w:rsid w:val="003014AC"/>
    <w:rsid w:val="0030233F"/>
    <w:rsid w:val="00302D57"/>
    <w:rsid w:val="00312034"/>
    <w:rsid w:val="0031249D"/>
    <w:rsid w:val="00320915"/>
    <w:rsid w:val="00321BCF"/>
    <w:rsid w:val="00321EB3"/>
    <w:rsid w:val="00324243"/>
    <w:rsid w:val="00325417"/>
    <w:rsid w:val="003260E6"/>
    <w:rsid w:val="003320B1"/>
    <w:rsid w:val="003343F7"/>
    <w:rsid w:val="0033492B"/>
    <w:rsid w:val="00334B9A"/>
    <w:rsid w:val="00340D13"/>
    <w:rsid w:val="00346139"/>
    <w:rsid w:val="00351CDF"/>
    <w:rsid w:val="00352F43"/>
    <w:rsid w:val="00355419"/>
    <w:rsid w:val="0035757D"/>
    <w:rsid w:val="00357DC3"/>
    <w:rsid w:val="003607DE"/>
    <w:rsid w:val="0036163A"/>
    <w:rsid w:val="00361CBE"/>
    <w:rsid w:val="003625E4"/>
    <w:rsid w:val="003753B4"/>
    <w:rsid w:val="0037709F"/>
    <w:rsid w:val="0037743F"/>
    <w:rsid w:val="00377F55"/>
    <w:rsid w:val="00382DE8"/>
    <w:rsid w:val="00391663"/>
    <w:rsid w:val="00394E1A"/>
    <w:rsid w:val="00395217"/>
    <w:rsid w:val="00395508"/>
    <w:rsid w:val="00396946"/>
    <w:rsid w:val="00397046"/>
    <w:rsid w:val="00397424"/>
    <w:rsid w:val="003A1490"/>
    <w:rsid w:val="003A3063"/>
    <w:rsid w:val="003A5275"/>
    <w:rsid w:val="003B1B30"/>
    <w:rsid w:val="003B5871"/>
    <w:rsid w:val="003C3C4E"/>
    <w:rsid w:val="003D0434"/>
    <w:rsid w:val="003D050C"/>
    <w:rsid w:val="003D201B"/>
    <w:rsid w:val="003D280E"/>
    <w:rsid w:val="003D3D0A"/>
    <w:rsid w:val="003D48C2"/>
    <w:rsid w:val="003D763D"/>
    <w:rsid w:val="003D7B77"/>
    <w:rsid w:val="003D7BE0"/>
    <w:rsid w:val="003E2CC8"/>
    <w:rsid w:val="003E338A"/>
    <w:rsid w:val="003F1168"/>
    <w:rsid w:val="003F16FD"/>
    <w:rsid w:val="003F1EBA"/>
    <w:rsid w:val="003F34B0"/>
    <w:rsid w:val="003F63C6"/>
    <w:rsid w:val="00400C96"/>
    <w:rsid w:val="00405EDB"/>
    <w:rsid w:val="004079A3"/>
    <w:rsid w:val="00410E95"/>
    <w:rsid w:val="00413C77"/>
    <w:rsid w:val="00424F15"/>
    <w:rsid w:val="00426ED7"/>
    <w:rsid w:val="00427274"/>
    <w:rsid w:val="00430C4A"/>
    <w:rsid w:val="004317A2"/>
    <w:rsid w:val="00434C52"/>
    <w:rsid w:val="00435209"/>
    <w:rsid w:val="0044098C"/>
    <w:rsid w:val="0044100F"/>
    <w:rsid w:val="00442884"/>
    <w:rsid w:val="004448B4"/>
    <w:rsid w:val="0044550C"/>
    <w:rsid w:val="00450CAC"/>
    <w:rsid w:val="00457058"/>
    <w:rsid w:val="00460756"/>
    <w:rsid w:val="004628F3"/>
    <w:rsid w:val="00466E93"/>
    <w:rsid w:val="00470885"/>
    <w:rsid w:val="00470B48"/>
    <w:rsid w:val="004737D2"/>
    <w:rsid w:val="0047660B"/>
    <w:rsid w:val="00476806"/>
    <w:rsid w:val="00477B76"/>
    <w:rsid w:val="00480171"/>
    <w:rsid w:val="00481FD0"/>
    <w:rsid w:val="00486BEB"/>
    <w:rsid w:val="00490236"/>
    <w:rsid w:val="0049030D"/>
    <w:rsid w:val="0049105E"/>
    <w:rsid w:val="00491AFA"/>
    <w:rsid w:val="00493CE5"/>
    <w:rsid w:val="00496FB6"/>
    <w:rsid w:val="004A15D0"/>
    <w:rsid w:val="004A6A6C"/>
    <w:rsid w:val="004A6E37"/>
    <w:rsid w:val="004A74E0"/>
    <w:rsid w:val="004B0597"/>
    <w:rsid w:val="004B06CE"/>
    <w:rsid w:val="004B0B5C"/>
    <w:rsid w:val="004B1F32"/>
    <w:rsid w:val="004B3518"/>
    <w:rsid w:val="004B4397"/>
    <w:rsid w:val="004B43C9"/>
    <w:rsid w:val="004C0A53"/>
    <w:rsid w:val="004C0E58"/>
    <w:rsid w:val="004C3FF4"/>
    <w:rsid w:val="004C6AB5"/>
    <w:rsid w:val="004D3EB5"/>
    <w:rsid w:val="004D5ACC"/>
    <w:rsid w:val="004E2117"/>
    <w:rsid w:val="004E4081"/>
    <w:rsid w:val="004E5BF5"/>
    <w:rsid w:val="004E7646"/>
    <w:rsid w:val="004E7A39"/>
    <w:rsid w:val="004F097E"/>
    <w:rsid w:val="004F13D7"/>
    <w:rsid w:val="004F1999"/>
    <w:rsid w:val="004F6652"/>
    <w:rsid w:val="004F6895"/>
    <w:rsid w:val="005047AC"/>
    <w:rsid w:val="00504F1C"/>
    <w:rsid w:val="00512843"/>
    <w:rsid w:val="005129BF"/>
    <w:rsid w:val="005164FF"/>
    <w:rsid w:val="00522C28"/>
    <w:rsid w:val="00523BCE"/>
    <w:rsid w:val="00532E9C"/>
    <w:rsid w:val="00534C7C"/>
    <w:rsid w:val="0053607D"/>
    <w:rsid w:val="00536131"/>
    <w:rsid w:val="00543405"/>
    <w:rsid w:val="0054591A"/>
    <w:rsid w:val="00546A7C"/>
    <w:rsid w:val="005478EB"/>
    <w:rsid w:val="00551CF7"/>
    <w:rsid w:val="0056197D"/>
    <w:rsid w:val="005657C9"/>
    <w:rsid w:val="00567370"/>
    <w:rsid w:val="005678C0"/>
    <w:rsid w:val="0057756C"/>
    <w:rsid w:val="0057792D"/>
    <w:rsid w:val="0058214F"/>
    <w:rsid w:val="00583925"/>
    <w:rsid w:val="0058455B"/>
    <w:rsid w:val="00587AD4"/>
    <w:rsid w:val="005911C5"/>
    <w:rsid w:val="005942D5"/>
    <w:rsid w:val="00595A4C"/>
    <w:rsid w:val="00596561"/>
    <w:rsid w:val="005A1F86"/>
    <w:rsid w:val="005A23BF"/>
    <w:rsid w:val="005A28B2"/>
    <w:rsid w:val="005A4729"/>
    <w:rsid w:val="005B0F72"/>
    <w:rsid w:val="005B1613"/>
    <w:rsid w:val="005B2B3B"/>
    <w:rsid w:val="005B3322"/>
    <w:rsid w:val="005B6249"/>
    <w:rsid w:val="005C1141"/>
    <w:rsid w:val="005C170E"/>
    <w:rsid w:val="005C2262"/>
    <w:rsid w:val="005C5735"/>
    <w:rsid w:val="005D0FD7"/>
    <w:rsid w:val="005D10A3"/>
    <w:rsid w:val="005D33C5"/>
    <w:rsid w:val="005D43BF"/>
    <w:rsid w:val="005E0D0B"/>
    <w:rsid w:val="005E5930"/>
    <w:rsid w:val="005E7456"/>
    <w:rsid w:val="005E7DC5"/>
    <w:rsid w:val="005F4439"/>
    <w:rsid w:val="00605996"/>
    <w:rsid w:val="006074E0"/>
    <w:rsid w:val="00610F4D"/>
    <w:rsid w:val="00621293"/>
    <w:rsid w:val="006220D7"/>
    <w:rsid w:val="00622160"/>
    <w:rsid w:val="006232A7"/>
    <w:rsid w:val="006243F8"/>
    <w:rsid w:val="00624A08"/>
    <w:rsid w:val="00626270"/>
    <w:rsid w:val="00626ADD"/>
    <w:rsid w:val="00636CA1"/>
    <w:rsid w:val="006408AF"/>
    <w:rsid w:val="00642D40"/>
    <w:rsid w:val="0064413A"/>
    <w:rsid w:val="006459BB"/>
    <w:rsid w:val="006470F7"/>
    <w:rsid w:val="006502B8"/>
    <w:rsid w:val="00652767"/>
    <w:rsid w:val="00653057"/>
    <w:rsid w:val="0065478D"/>
    <w:rsid w:val="00657DBF"/>
    <w:rsid w:val="00660410"/>
    <w:rsid w:val="006636E1"/>
    <w:rsid w:val="00664822"/>
    <w:rsid w:val="006655CC"/>
    <w:rsid w:val="00666551"/>
    <w:rsid w:val="006720FF"/>
    <w:rsid w:val="006778E8"/>
    <w:rsid w:val="00681B22"/>
    <w:rsid w:val="0068383A"/>
    <w:rsid w:val="006854F0"/>
    <w:rsid w:val="0069268A"/>
    <w:rsid w:val="00697DCA"/>
    <w:rsid w:val="006A0489"/>
    <w:rsid w:val="006A1760"/>
    <w:rsid w:val="006A1B74"/>
    <w:rsid w:val="006A47B0"/>
    <w:rsid w:val="006A5113"/>
    <w:rsid w:val="006A59D1"/>
    <w:rsid w:val="006A5B18"/>
    <w:rsid w:val="006A7A76"/>
    <w:rsid w:val="006B3753"/>
    <w:rsid w:val="006B39D3"/>
    <w:rsid w:val="006B4842"/>
    <w:rsid w:val="006C0BCA"/>
    <w:rsid w:val="006C156F"/>
    <w:rsid w:val="006D081E"/>
    <w:rsid w:val="006D2845"/>
    <w:rsid w:val="006D6095"/>
    <w:rsid w:val="006D7726"/>
    <w:rsid w:val="006E1E47"/>
    <w:rsid w:val="006E3224"/>
    <w:rsid w:val="006E5902"/>
    <w:rsid w:val="006E6B1B"/>
    <w:rsid w:val="006F2B69"/>
    <w:rsid w:val="006F2B9A"/>
    <w:rsid w:val="006F5DAD"/>
    <w:rsid w:val="006F753E"/>
    <w:rsid w:val="00700291"/>
    <w:rsid w:val="00702E16"/>
    <w:rsid w:val="007044B9"/>
    <w:rsid w:val="007076DF"/>
    <w:rsid w:val="0071490A"/>
    <w:rsid w:val="00724760"/>
    <w:rsid w:val="007256E6"/>
    <w:rsid w:val="00727C06"/>
    <w:rsid w:val="00731B84"/>
    <w:rsid w:val="00733428"/>
    <w:rsid w:val="00733E9B"/>
    <w:rsid w:val="007411D1"/>
    <w:rsid w:val="00741A14"/>
    <w:rsid w:val="00741A28"/>
    <w:rsid w:val="00741F69"/>
    <w:rsid w:val="0074337A"/>
    <w:rsid w:val="0074787F"/>
    <w:rsid w:val="00754178"/>
    <w:rsid w:val="00754DB2"/>
    <w:rsid w:val="0075628F"/>
    <w:rsid w:val="0075774E"/>
    <w:rsid w:val="007632E7"/>
    <w:rsid w:val="00766037"/>
    <w:rsid w:val="007669E6"/>
    <w:rsid w:val="00772438"/>
    <w:rsid w:val="00772775"/>
    <w:rsid w:val="007743A8"/>
    <w:rsid w:val="00774A70"/>
    <w:rsid w:val="00775A3B"/>
    <w:rsid w:val="0078257B"/>
    <w:rsid w:val="00782A07"/>
    <w:rsid w:val="00783570"/>
    <w:rsid w:val="00785716"/>
    <w:rsid w:val="00786CAD"/>
    <w:rsid w:val="007873FF"/>
    <w:rsid w:val="007874B1"/>
    <w:rsid w:val="00787817"/>
    <w:rsid w:val="007A19C0"/>
    <w:rsid w:val="007A54E3"/>
    <w:rsid w:val="007A575C"/>
    <w:rsid w:val="007A7348"/>
    <w:rsid w:val="007B259F"/>
    <w:rsid w:val="007B2625"/>
    <w:rsid w:val="007B2721"/>
    <w:rsid w:val="007B2BE6"/>
    <w:rsid w:val="007B4620"/>
    <w:rsid w:val="007B547C"/>
    <w:rsid w:val="007C060A"/>
    <w:rsid w:val="007C2054"/>
    <w:rsid w:val="007C4D5D"/>
    <w:rsid w:val="007C589C"/>
    <w:rsid w:val="007C7A6B"/>
    <w:rsid w:val="007D34D6"/>
    <w:rsid w:val="007D35CA"/>
    <w:rsid w:val="007D3802"/>
    <w:rsid w:val="007D5B45"/>
    <w:rsid w:val="007E005E"/>
    <w:rsid w:val="007E1390"/>
    <w:rsid w:val="007E3498"/>
    <w:rsid w:val="007E62BE"/>
    <w:rsid w:val="007E76DA"/>
    <w:rsid w:val="007F57AD"/>
    <w:rsid w:val="007F58BC"/>
    <w:rsid w:val="007F5963"/>
    <w:rsid w:val="007F7B93"/>
    <w:rsid w:val="008001B5"/>
    <w:rsid w:val="00802AD9"/>
    <w:rsid w:val="00803FE1"/>
    <w:rsid w:val="00805101"/>
    <w:rsid w:val="0081010B"/>
    <w:rsid w:val="008200DF"/>
    <w:rsid w:val="00820F45"/>
    <w:rsid w:val="00821C37"/>
    <w:rsid w:val="00822E41"/>
    <w:rsid w:val="00825B6B"/>
    <w:rsid w:val="00826519"/>
    <w:rsid w:val="008268A3"/>
    <w:rsid w:val="008317E7"/>
    <w:rsid w:val="00831A42"/>
    <w:rsid w:val="00833CF4"/>
    <w:rsid w:val="008343B1"/>
    <w:rsid w:val="00837D83"/>
    <w:rsid w:val="00837FEA"/>
    <w:rsid w:val="00845898"/>
    <w:rsid w:val="00851D31"/>
    <w:rsid w:val="00852CAD"/>
    <w:rsid w:val="0085396E"/>
    <w:rsid w:val="00855073"/>
    <w:rsid w:val="008660C0"/>
    <w:rsid w:val="0086711A"/>
    <w:rsid w:val="00870A4D"/>
    <w:rsid w:val="008730CB"/>
    <w:rsid w:val="008769BD"/>
    <w:rsid w:val="00876A57"/>
    <w:rsid w:val="0088223E"/>
    <w:rsid w:val="008838D4"/>
    <w:rsid w:val="00892D74"/>
    <w:rsid w:val="008931A8"/>
    <w:rsid w:val="008931B8"/>
    <w:rsid w:val="00893634"/>
    <w:rsid w:val="00894FE4"/>
    <w:rsid w:val="008952D1"/>
    <w:rsid w:val="008A0C23"/>
    <w:rsid w:val="008A29A0"/>
    <w:rsid w:val="008A30D5"/>
    <w:rsid w:val="008A68C0"/>
    <w:rsid w:val="008A6CC5"/>
    <w:rsid w:val="008B492E"/>
    <w:rsid w:val="008B7952"/>
    <w:rsid w:val="008C04C1"/>
    <w:rsid w:val="008C236F"/>
    <w:rsid w:val="008C304E"/>
    <w:rsid w:val="008C3149"/>
    <w:rsid w:val="008C77A4"/>
    <w:rsid w:val="008D2049"/>
    <w:rsid w:val="008D5641"/>
    <w:rsid w:val="008D58D1"/>
    <w:rsid w:val="008D65CD"/>
    <w:rsid w:val="008E133A"/>
    <w:rsid w:val="008E334F"/>
    <w:rsid w:val="008E6B30"/>
    <w:rsid w:val="008F03C7"/>
    <w:rsid w:val="008F22ED"/>
    <w:rsid w:val="008F5EA3"/>
    <w:rsid w:val="00900FF6"/>
    <w:rsid w:val="00901699"/>
    <w:rsid w:val="0090629B"/>
    <w:rsid w:val="00907F15"/>
    <w:rsid w:val="00910EE5"/>
    <w:rsid w:val="009121D2"/>
    <w:rsid w:val="00913984"/>
    <w:rsid w:val="00915844"/>
    <w:rsid w:val="00915F38"/>
    <w:rsid w:val="00917871"/>
    <w:rsid w:val="00920E40"/>
    <w:rsid w:val="009219CF"/>
    <w:rsid w:val="00926197"/>
    <w:rsid w:val="00942692"/>
    <w:rsid w:val="009434C5"/>
    <w:rsid w:val="00944665"/>
    <w:rsid w:val="0094594C"/>
    <w:rsid w:val="0095183A"/>
    <w:rsid w:val="00957636"/>
    <w:rsid w:val="0096005C"/>
    <w:rsid w:val="00963521"/>
    <w:rsid w:val="00964019"/>
    <w:rsid w:val="0097074F"/>
    <w:rsid w:val="00971C8B"/>
    <w:rsid w:val="00972271"/>
    <w:rsid w:val="009727C6"/>
    <w:rsid w:val="00976244"/>
    <w:rsid w:val="0099542C"/>
    <w:rsid w:val="00995D84"/>
    <w:rsid w:val="009A05D2"/>
    <w:rsid w:val="009A3523"/>
    <w:rsid w:val="009A55DF"/>
    <w:rsid w:val="009A5748"/>
    <w:rsid w:val="009A6367"/>
    <w:rsid w:val="009A672D"/>
    <w:rsid w:val="009B4175"/>
    <w:rsid w:val="009B4F42"/>
    <w:rsid w:val="009C007B"/>
    <w:rsid w:val="009C1277"/>
    <w:rsid w:val="009C1A77"/>
    <w:rsid w:val="009C22C6"/>
    <w:rsid w:val="009C7D84"/>
    <w:rsid w:val="009D001C"/>
    <w:rsid w:val="009D4736"/>
    <w:rsid w:val="009E1DAF"/>
    <w:rsid w:val="009E31E5"/>
    <w:rsid w:val="009E37CD"/>
    <w:rsid w:val="009E52F8"/>
    <w:rsid w:val="009E5F58"/>
    <w:rsid w:val="009E65FA"/>
    <w:rsid w:val="009E7F3F"/>
    <w:rsid w:val="009F0947"/>
    <w:rsid w:val="009F0E50"/>
    <w:rsid w:val="009F0EA4"/>
    <w:rsid w:val="009F1C88"/>
    <w:rsid w:val="009F2436"/>
    <w:rsid w:val="009F5D85"/>
    <w:rsid w:val="00A01A98"/>
    <w:rsid w:val="00A01EDA"/>
    <w:rsid w:val="00A02863"/>
    <w:rsid w:val="00A05667"/>
    <w:rsid w:val="00A05CF4"/>
    <w:rsid w:val="00A102CE"/>
    <w:rsid w:val="00A12756"/>
    <w:rsid w:val="00A13708"/>
    <w:rsid w:val="00A169DF"/>
    <w:rsid w:val="00A20234"/>
    <w:rsid w:val="00A22294"/>
    <w:rsid w:val="00A24B21"/>
    <w:rsid w:val="00A270C4"/>
    <w:rsid w:val="00A30348"/>
    <w:rsid w:val="00A329BA"/>
    <w:rsid w:val="00A331CE"/>
    <w:rsid w:val="00A332BE"/>
    <w:rsid w:val="00A35386"/>
    <w:rsid w:val="00A36CE5"/>
    <w:rsid w:val="00A41D5C"/>
    <w:rsid w:val="00A44B1D"/>
    <w:rsid w:val="00A46F3E"/>
    <w:rsid w:val="00A543E4"/>
    <w:rsid w:val="00A62B44"/>
    <w:rsid w:val="00A655FE"/>
    <w:rsid w:val="00A67603"/>
    <w:rsid w:val="00A73F8D"/>
    <w:rsid w:val="00A817A4"/>
    <w:rsid w:val="00A82692"/>
    <w:rsid w:val="00A917ED"/>
    <w:rsid w:val="00A96B8D"/>
    <w:rsid w:val="00A96C66"/>
    <w:rsid w:val="00A97E4F"/>
    <w:rsid w:val="00AA35BF"/>
    <w:rsid w:val="00AA3F93"/>
    <w:rsid w:val="00AA42A7"/>
    <w:rsid w:val="00AA7721"/>
    <w:rsid w:val="00AA78C8"/>
    <w:rsid w:val="00AB1582"/>
    <w:rsid w:val="00AC11D4"/>
    <w:rsid w:val="00AD4542"/>
    <w:rsid w:val="00AD6E60"/>
    <w:rsid w:val="00AD7BCE"/>
    <w:rsid w:val="00AE045B"/>
    <w:rsid w:val="00AE2FCA"/>
    <w:rsid w:val="00AE35D5"/>
    <w:rsid w:val="00AE491E"/>
    <w:rsid w:val="00AF1118"/>
    <w:rsid w:val="00AF2E6F"/>
    <w:rsid w:val="00AF3D7B"/>
    <w:rsid w:val="00AF7FCD"/>
    <w:rsid w:val="00B0017F"/>
    <w:rsid w:val="00B022DA"/>
    <w:rsid w:val="00B02812"/>
    <w:rsid w:val="00B05C7B"/>
    <w:rsid w:val="00B10430"/>
    <w:rsid w:val="00B13476"/>
    <w:rsid w:val="00B13C85"/>
    <w:rsid w:val="00B16FEB"/>
    <w:rsid w:val="00B20FCE"/>
    <w:rsid w:val="00B210F7"/>
    <w:rsid w:val="00B23A29"/>
    <w:rsid w:val="00B24798"/>
    <w:rsid w:val="00B27FE7"/>
    <w:rsid w:val="00B31175"/>
    <w:rsid w:val="00B364D6"/>
    <w:rsid w:val="00B3700B"/>
    <w:rsid w:val="00B41813"/>
    <w:rsid w:val="00B419C7"/>
    <w:rsid w:val="00B43A88"/>
    <w:rsid w:val="00B43F2B"/>
    <w:rsid w:val="00B45CF7"/>
    <w:rsid w:val="00B466F1"/>
    <w:rsid w:val="00B51A9C"/>
    <w:rsid w:val="00B53B8E"/>
    <w:rsid w:val="00B53D34"/>
    <w:rsid w:val="00B5401C"/>
    <w:rsid w:val="00B54030"/>
    <w:rsid w:val="00B54A2C"/>
    <w:rsid w:val="00B55338"/>
    <w:rsid w:val="00B60578"/>
    <w:rsid w:val="00B60E2D"/>
    <w:rsid w:val="00B64271"/>
    <w:rsid w:val="00B660C8"/>
    <w:rsid w:val="00B67447"/>
    <w:rsid w:val="00B73FED"/>
    <w:rsid w:val="00B7483E"/>
    <w:rsid w:val="00B74F1B"/>
    <w:rsid w:val="00B75214"/>
    <w:rsid w:val="00B75893"/>
    <w:rsid w:val="00B765C2"/>
    <w:rsid w:val="00B873DB"/>
    <w:rsid w:val="00B87659"/>
    <w:rsid w:val="00B95EDA"/>
    <w:rsid w:val="00B96680"/>
    <w:rsid w:val="00BB02EE"/>
    <w:rsid w:val="00BB2FE3"/>
    <w:rsid w:val="00BB45C2"/>
    <w:rsid w:val="00BB6AFC"/>
    <w:rsid w:val="00BB7933"/>
    <w:rsid w:val="00BC0069"/>
    <w:rsid w:val="00BC113C"/>
    <w:rsid w:val="00BC1A4A"/>
    <w:rsid w:val="00BC7D42"/>
    <w:rsid w:val="00BD20B8"/>
    <w:rsid w:val="00BD4E0B"/>
    <w:rsid w:val="00BD5110"/>
    <w:rsid w:val="00BD7094"/>
    <w:rsid w:val="00BD7C37"/>
    <w:rsid w:val="00BE30F7"/>
    <w:rsid w:val="00BE5E89"/>
    <w:rsid w:val="00BE68A8"/>
    <w:rsid w:val="00BF047D"/>
    <w:rsid w:val="00BF0505"/>
    <w:rsid w:val="00BF3656"/>
    <w:rsid w:val="00BF3EB5"/>
    <w:rsid w:val="00BF4606"/>
    <w:rsid w:val="00C00AAB"/>
    <w:rsid w:val="00C059DE"/>
    <w:rsid w:val="00C079EB"/>
    <w:rsid w:val="00C11603"/>
    <w:rsid w:val="00C11D5B"/>
    <w:rsid w:val="00C1228D"/>
    <w:rsid w:val="00C14012"/>
    <w:rsid w:val="00C1430F"/>
    <w:rsid w:val="00C16BF8"/>
    <w:rsid w:val="00C21FB0"/>
    <w:rsid w:val="00C23AED"/>
    <w:rsid w:val="00C24BE5"/>
    <w:rsid w:val="00C35419"/>
    <w:rsid w:val="00C45798"/>
    <w:rsid w:val="00C52A71"/>
    <w:rsid w:val="00C567D7"/>
    <w:rsid w:val="00C57F11"/>
    <w:rsid w:val="00C57F98"/>
    <w:rsid w:val="00C60609"/>
    <w:rsid w:val="00C60C1A"/>
    <w:rsid w:val="00C61967"/>
    <w:rsid w:val="00C619AC"/>
    <w:rsid w:val="00C62A26"/>
    <w:rsid w:val="00C66475"/>
    <w:rsid w:val="00C718DA"/>
    <w:rsid w:val="00C71D88"/>
    <w:rsid w:val="00C72362"/>
    <w:rsid w:val="00C81745"/>
    <w:rsid w:val="00C834ED"/>
    <w:rsid w:val="00C859CB"/>
    <w:rsid w:val="00C86AD2"/>
    <w:rsid w:val="00C9120A"/>
    <w:rsid w:val="00C91DB4"/>
    <w:rsid w:val="00C9351B"/>
    <w:rsid w:val="00C952A7"/>
    <w:rsid w:val="00CA4D4A"/>
    <w:rsid w:val="00CB1B41"/>
    <w:rsid w:val="00CB3297"/>
    <w:rsid w:val="00CB631C"/>
    <w:rsid w:val="00CB7C78"/>
    <w:rsid w:val="00CC08A7"/>
    <w:rsid w:val="00CC113B"/>
    <w:rsid w:val="00CC4303"/>
    <w:rsid w:val="00CD0D53"/>
    <w:rsid w:val="00CD1F57"/>
    <w:rsid w:val="00CD1F8F"/>
    <w:rsid w:val="00CD3496"/>
    <w:rsid w:val="00CD396F"/>
    <w:rsid w:val="00CD4DA7"/>
    <w:rsid w:val="00CE1FE8"/>
    <w:rsid w:val="00CE40F7"/>
    <w:rsid w:val="00CE53D0"/>
    <w:rsid w:val="00CF34F3"/>
    <w:rsid w:val="00CF4230"/>
    <w:rsid w:val="00CF438E"/>
    <w:rsid w:val="00D01167"/>
    <w:rsid w:val="00D01498"/>
    <w:rsid w:val="00D018E2"/>
    <w:rsid w:val="00D0305F"/>
    <w:rsid w:val="00D05677"/>
    <w:rsid w:val="00D10929"/>
    <w:rsid w:val="00D115F9"/>
    <w:rsid w:val="00D1278F"/>
    <w:rsid w:val="00D13517"/>
    <w:rsid w:val="00D14F85"/>
    <w:rsid w:val="00D16F91"/>
    <w:rsid w:val="00D226AC"/>
    <w:rsid w:val="00D252F7"/>
    <w:rsid w:val="00D26628"/>
    <w:rsid w:val="00D2735D"/>
    <w:rsid w:val="00D30154"/>
    <w:rsid w:val="00D30F66"/>
    <w:rsid w:val="00D32A81"/>
    <w:rsid w:val="00D33780"/>
    <w:rsid w:val="00D35E4B"/>
    <w:rsid w:val="00D419F5"/>
    <w:rsid w:val="00D42F4F"/>
    <w:rsid w:val="00D43110"/>
    <w:rsid w:val="00D44D6C"/>
    <w:rsid w:val="00D46A19"/>
    <w:rsid w:val="00D56008"/>
    <w:rsid w:val="00D60D65"/>
    <w:rsid w:val="00D61CDE"/>
    <w:rsid w:val="00D62DAA"/>
    <w:rsid w:val="00D62EB2"/>
    <w:rsid w:val="00D63573"/>
    <w:rsid w:val="00D643E9"/>
    <w:rsid w:val="00D65CEA"/>
    <w:rsid w:val="00D67827"/>
    <w:rsid w:val="00D70F53"/>
    <w:rsid w:val="00D71BD3"/>
    <w:rsid w:val="00D8007A"/>
    <w:rsid w:val="00D818D4"/>
    <w:rsid w:val="00D821A6"/>
    <w:rsid w:val="00D82D6F"/>
    <w:rsid w:val="00D831B6"/>
    <w:rsid w:val="00D85C8C"/>
    <w:rsid w:val="00D86356"/>
    <w:rsid w:val="00D86766"/>
    <w:rsid w:val="00D870F4"/>
    <w:rsid w:val="00D9089B"/>
    <w:rsid w:val="00D93874"/>
    <w:rsid w:val="00D94034"/>
    <w:rsid w:val="00DA08D9"/>
    <w:rsid w:val="00DA2505"/>
    <w:rsid w:val="00DA6956"/>
    <w:rsid w:val="00DB22D2"/>
    <w:rsid w:val="00DB2608"/>
    <w:rsid w:val="00DB74F8"/>
    <w:rsid w:val="00DB7BD9"/>
    <w:rsid w:val="00DC0694"/>
    <w:rsid w:val="00DC35BA"/>
    <w:rsid w:val="00DC483D"/>
    <w:rsid w:val="00DC6614"/>
    <w:rsid w:val="00DD2E75"/>
    <w:rsid w:val="00DD2E76"/>
    <w:rsid w:val="00DD3DC9"/>
    <w:rsid w:val="00DD73B1"/>
    <w:rsid w:val="00DE211A"/>
    <w:rsid w:val="00DE2132"/>
    <w:rsid w:val="00DE6FF8"/>
    <w:rsid w:val="00DF4E6B"/>
    <w:rsid w:val="00DF7F6B"/>
    <w:rsid w:val="00E03605"/>
    <w:rsid w:val="00E03CB0"/>
    <w:rsid w:val="00E04052"/>
    <w:rsid w:val="00E04908"/>
    <w:rsid w:val="00E04BED"/>
    <w:rsid w:val="00E050B2"/>
    <w:rsid w:val="00E0570C"/>
    <w:rsid w:val="00E06DC7"/>
    <w:rsid w:val="00E12A3B"/>
    <w:rsid w:val="00E1596F"/>
    <w:rsid w:val="00E16EEE"/>
    <w:rsid w:val="00E21ACF"/>
    <w:rsid w:val="00E262D1"/>
    <w:rsid w:val="00E26BAC"/>
    <w:rsid w:val="00E27E10"/>
    <w:rsid w:val="00E30CA0"/>
    <w:rsid w:val="00E32BF7"/>
    <w:rsid w:val="00E337F9"/>
    <w:rsid w:val="00E347BC"/>
    <w:rsid w:val="00E351B2"/>
    <w:rsid w:val="00E4022F"/>
    <w:rsid w:val="00E41305"/>
    <w:rsid w:val="00E413A4"/>
    <w:rsid w:val="00E44F8D"/>
    <w:rsid w:val="00E5030A"/>
    <w:rsid w:val="00E5132E"/>
    <w:rsid w:val="00E54FCF"/>
    <w:rsid w:val="00E558AB"/>
    <w:rsid w:val="00E62505"/>
    <w:rsid w:val="00E63C19"/>
    <w:rsid w:val="00E734FE"/>
    <w:rsid w:val="00E738A0"/>
    <w:rsid w:val="00E747DA"/>
    <w:rsid w:val="00E75CD6"/>
    <w:rsid w:val="00E8094E"/>
    <w:rsid w:val="00E80A9F"/>
    <w:rsid w:val="00E81332"/>
    <w:rsid w:val="00E81F47"/>
    <w:rsid w:val="00E83567"/>
    <w:rsid w:val="00E84DF4"/>
    <w:rsid w:val="00E85B48"/>
    <w:rsid w:val="00E946E9"/>
    <w:rsid w:val="00EA5287"/>
    <w:rsid w:val="00EA6C3A"/>
    <w:rsid w:val="00EB5438"/>
    <w:rsid w:val="00EC0C97"/>
    <w:rsid w:val="00EC322E"/>
    <w:rsid w:val="00EC329D"/>
    <w:rsid w:val="00EC6F6D"/>
    <w:rsid w:val="00ED33ED"/>
    <w:rsid w:val="00ED35F5"/>
    <w:rsid w:val="00ED7FFA"/>
    <w:rsid w:val="00EE2D31"/>
    <w:rsid w:val="00EE4266"/>
    <w:rsid w:val="00EE779D"/>
    <w:rsid w:val="00EF1ABD"/>
    <w:rsid w:val="00EF4966"/>
    <w:rsid w:val="00EF5ABD"/>
    <w:rsid w:val="00EF5EE2"/>
    <w:rsid w:val="00EF609F"/>
    <w:rsid w:val="00EF7EE8"/>
    <w:rsid w:val="00F051A9"/>
    <w:rsid w:val="00F069F9"/>
    <w:rsid w:val="00F06DF1"/>
    <w:rsid w:val="00F101D9"/>
    <w:rsid w:val="00F1265F"/>
    <w:rsid w:val="00F14839"/>
    <w:rsid w:val="00F2173F"/>
    <w:rsid w:val="00F22705"/>
    <w:rsid w:val="00F25CA8"/>
    <w:rsid w:val="00F25DD9"/>
    <w:rsid w:val="00F27076"/>
    <w:rsid w:val="00F27E87"/>
    <w:rsid w:val="00F35046"/>
    <w:rsid w:val="00F354A0"/>
    <w:rsid w:val="00F36157"/>
    <w:rsid w:val="00F366F6"/>
    <w:rsid w:val="00F36A4E"/>
    <w:rsid w:val="00F36ABB"/>
    <w:rsid w:val="00F37415"/>
    <w:rsid w:val="00F4657E"/>
    <w:rsid w:val="00F509E7"/>
    <w:rsid w:val="00F63CAF"/>
    <w:rsid w:val="00F704AC"/>
    <w:rsid w:val="00F70CEF"/>
    <w:rsid w:val="00F71DE3"/>
    <w:rsid w:val="00F734D0"/>
    <w:rsid w:val="00F746D7"/>
    <w:rsid w:val="00F74CC5"/>
    <w:rsid w:val="00F754CB"/>
    <w:rsid w:val="00F7727F"/>
    <w:rsid w:val="00F77CF0"/>
    <w:rsid w:val="00F80176"/>
    <w:rsid w:val="00F80CFF"/>
    <w:rsid w:val="00F81021"/>
    <w:rsid w:val="00F850FA"/>
    <w:rsid w:val="00F91333"/>
    <w:rsid w:val="00F950B4"/>
    <w:rsid w:val="00F974E9"/>
    <w:rsid w:val="00FA09AE"/>
    <w:rsid w:val="00FA1790"/>
    <w:rsid w:val="00FA6314"/>
    <w:rsid w:val="00FA6650"/>
    <w:rsid w:val="00FB379F"/>
    <w:rsid w:val="00FB5669"/>
    <w:rsid w:val="00FB6D93"/>
    <w:rsid w:val="00FC1346"/>
    <w:rsid w:val="00FC1653"/>
    <w:rsid w:val="00FD1473"/>
    <w:rsid w:val="00FD23B1"/>
    <w:rsid w:val="00FD3590"/>
    <w:rsid w:val="00FD4238"/>
    <w:rsid w:val="00FD43F8"/>
    <w:rsid w:val="00FD56EA"/>
    <w:rsid w:val="00FE20FE"/>
    <w:rsid w:val="00FE6BFF"/>
    <w:rsid w:val="00FF1FA5"/>
    <w:rsid w:val="00FF2F5D"/>
    <w:rsid w:val="00FF5144"/>
    <w:rsid w:val="00FF6B22"/>
    <w:rsid w:val="00FF7FFB"/>
    <w:rsid w:val="010D1DB8"/>
    <w:rsid w:val="01536F1C"/>
    <w:rsid w:val="01A1656E"/>
    <w:rsid w:val="027268AD"/>
    <w:rsid w:val="03461F64"/>
    <w:rsid w:val="04690B28"/>
    <w:rsid w:val="04D924E0"/>
    <w:rsid w:val="05352403"/>
    <w:rsid w:val="05F17CFB"/>
    <w:rsid w:val="067317CA"/>
    <w:rsid w:val="07957C9B"/>
    <w:rsid w:val="082F2679"/>
    <w:rsid w:val="0B01585E"/>
    <w:rsid w:val="0BBB28E1"/>
    <w:rsid w:val="0BE20A00"/>
    <w:rsid w:val="0CF624B5"/>
    <w:rsid w:val="0D0C5B46"/>
    <w:rsid w:val="0DB74652"/>
    <w:rsid w:val="0E262518"/>
    <w:rsid w:val="0F376999"/>
    <w:rsid w:val="0F57588C"/>
    <w:rsid w:val="0F746230"/>
    <w:rsid w:val="0FE31719"/>
    <w:rsid w:val="10962E2B"/>
    <w:rsid w:val="110E39AA"/>
    <w:rsid w:val="11323597"/>
    <w:rsid w:val="11AA7131"/>
    <w:rsid w:val="11DF1BE9"/>
    <w:rsid w:val="121B187F"/>
    <w:rsid w:val="13BC2291"/>
    <w:rsid w:val="15A155C4"/>
    <w:rsid w:val="170E703B"/>
    <w:rsid w:val="189C4529"/>
    <w:rsid w:val="19D24383"/>
    <w:rsid w:val="19EB3CF8"/>
    <w:rsid w:val="1A767E64"/>
    <w:rsid w:val="1B7EF6CB"/>
    <w:rsid w:val="1CCE16F6"/>
    <w:rsid w:val="1DAE77DB"/>
    <w:rsid w:val="1DB51E05"/>
    <w:rsid w:val="1DF75D35"/>
    <w:rsid w:val="1F7EF7C4"/>
    <w:rsid w:val="1FB72A8A"/>
    <w:rsid w:val="20DD64A1"/>
    <w:rsid w:val="20FD782F"/>
    <w:rsid w:val="214D309F"/>
    <w:rsid w:val="223C3386"/>
    <w:rsid w:val="23350EED"/>
    <w:rsid w:val="248708D3"/>
    <w:rsid w:val="255340EA"/>
    <w:rsid w:val="25CA7D3E"/>
    <w:rsid w:val="26165652"/>
    <w:rsid w:val="26DB24A7"/>
    <w:rsid w:val="280122A8"/>
    <w:rsid w:val="280C4816"/>
    <w:rsid w:val="28A351D6"/>
    <w:rsid w:val="28C93A9D"/>
    <w:rsid w:val="29B07B89"/>
    <w:rsid w:val="29E449E5"/>
    <w:rsid w:val="29EB5BAA"/>
    <w:rsid w:val="2A6978CF"/>
    <w:rsid w:val="2CD46F6E"/>
    <w:rsid w:val="2D03269E"/>
    <w:rsid w:val="2E455F14"/>
    <w:rsid w:val="2F547802"/>
    <w:rsid w:val="2FD40D00"/>
    <w:rsid w:val="30F753C0"/>
    <w:rsid w:val="314B50A2"/>
    <w:rsid w:val="31686CFD"/>
    <w:rsid w:val="32612C6D"/>
    <w:rsid w:val="32F21BB1"/>
    <w:rsid w:val="333074E0"/>
    <w:rsid w:val="33987E07"/>
    <w:rsid w:val="33FF8BB0"/>
    <w:rsid w:val="34B33629"/>
    <w:rsid w:val="358A21E3"/>
    <w:rsid w:val="36304F87"/>
    <w:rsid w:val="3759B7D7"/>
    <w:rsid w:val="376A2452"/>
    <w:rsid w:val="37B696D1"/>
    <w:rsid w:val="38093FA6"/>
    <w:rsid w:val="386530AD"/>
    <w:rsid w:val="3A3522D5"/>
    <w:rsid w:val="3A6962CB"/>
    <w:rsid w:val="3A8478F6"/>
    <w:rsid w:val="3B1403CF"/>
    <w:rsid w:val="3B4D9D3C"/>
    <w:rsid w:val="3B7977E0"/>
    <w:rsid w:val="3B9C69A2"/>
    <w:rsid w:val="3C7630B4"/>
    <w:rsid w:val="3CB93B6F"/>
    <w:rsid w:val="3CC7877E"/>
    <w:rsid w:val="3CF96DD5"/>
    <w:rsid w:val="3DB9B849"/>
    <w:rsid w:val="3DE7778E"/>
    <w:rsid w:val="3DF304ED"/>
    <w:rsid w:val="3E4A7136"/>
    <w:rsid w:val="3F76ED5F"/>
    <w:rsid w:val="3FA94591"/>
    <w:rsid w:val="3FEB397C"/>
    <w:rsid w:val="3FF12FEF"/>
    <w:rsid w:val="4008048B"/>
    <w:rsid w:val="40CB0178"/>
    <w:rsid w:val="40FE2EDC"/>
    <w:rsid w:val="41567072"/>
    <w:rsid w:val="415A7752"/>
    <w:rsid w:val="41CC602E"/>
    <w:rsid w:val="431D5563"/>
    <w:rsid w:val="435F7C95"/>
    <w:rsid w:val="454A527E"/>
    <w:rsid w:val="45503AD6"/>
    <w:rsid w:val="4591262E"/>
    <w:rsid w:val="45D078B5"/>
    <w:rsid w:val="461123C4"/>
    <w:rsid w:val="467C27AD"/>
    <w:rsid w:val="471B1ECF"/>
    <w:rsid w:val="47BC64BE"/>
    <w:rsid w:val="49380B5A"/>
    <w:rsid w:val="494B2553"/>
    <w:rsid w:val="49AA55B3"/>
    <w:rsid w:val="4B3FBD2E"/>
    <w:rsid w:val="4CAB43CE"/>
    <w:rsid w:val="4D020DCF"/>
    <w:rsid w:val="4DA8231B"/>
    <w:rsid w:val="4DBE757E"/>
    <w:rsid w:val="4E152532"/>
    <w:rsid w:val="4E203403"/>
    <w:rsid w:val="4E624327"/>
    <w:rsid w:val="4E6E0C2E"/>
    <w:rsid w:val="5007227E"/>
    <w:rsid w:val="51043206"/>
    <w:rsid w:val="5149518E"/>
    <w:rsid w:val="51B6568A"/>
    <w:rsid w:val="52D3527B"/>
    <w:rsid w:val="531224C9"/>
    <w:rsid w:val="5380363A"/>
    <w:rsid w:val="53B07102"/>
    <w:rsid w:val="54D456D9"/>
    <w:rsid w:val="54F245D2"/>
    <w:rsid w:val="55A67462"/>
    <w:rsid w:val="57EA5B29"/>
    <w:rsid w:val="57FED752"/>
    <w:rsid w:val="58485B82"/>
    <w:rsid w:val="589B46B9"/>
    <w:rsid w:val="5A313B01"/>
    <w:rsid w:val="5A8E7083"/>
    <w:rsid w:val="5AAF543E"/>
    <w:rsid w:val="5B6D5061"/>
    <w:rsid w:val="5BC84B42"/>
    <w:rsid w:val="5BF19918"/>
    <w:rsid w:val="5BF49317"/>
    <w:rsid w:val="5CFF23A1"/>
    <w:rsid w:val="5D0F28D6"/>
    <w:rsid w:val="5DFD4ACA"/>
    <w:rsid w:val="5E8464CC"/>
    <w:rsid w:val="5E8F29EE"/>
    <w:rsid w:val="5EA994C1"/>
    <w:rsid w:val="5EBD24C9"/>
    <w:rsid w:val="5EDDEAD9"/>
    <w:rsid w:val="5EF9003F"/>
    <w:rsid w:val="5EFAC7E6"/>
    <w:rsid w:val="5EFBD055"/>
    <w:rsid w:val="5F150732"/>
    <w:rsid w:val="5F5B76F2"/>
    <w:rsid w:val="5FDFA281"/>
    <w:rsid w:val="5FFF51BC"/>
    <w:rsid w:val="607534FF"/>
    <w:rsid w:val="607C3203"/>
    <w:rsid w:val="611B6AC5"/>
    <w:rsid w:val="61266A3D"/>
    <w:rsid w:val="613A3F44"/>
    <w:rsid w:val="613B3FB7"/>
    <w:rsid w:val="61936C1F"/>
    <w:rsid w:val="61A718FC"/>
    <w:rsid w:val="61B3532C"/>
    <w:rsid w:val="625F7837"/>
    <w:rsid w:val="627F0321"/>
    <w:rsid w:val="62BD180A"/>
    <w:rsid w:val="631D1FD0"/>
    <w:rsid w:val="63922838"/>
    <w:rsid w:val="647F3E3B"/>
    <w:rsid w:val="649C573A"/>
    <w:rsid w:val="64B72F7F"/>
    <w:rsid w:val="64B768FE"/>
    <w:rsid w:val="64CE2A36"/>
    <w:rsid w:val="64FA7C6C"/>
    <w:rsid w:val="66444C4E"/>
    <w:rsid w:val="66AC51A2"/>
    <w:rsid w:val="67345ECE"/>
    <w:rsid w:val="673B3F6B"/>
    <w:rsid w:val="67BFC8BD"/>
    <w:rsid w:val="68DF2C99"/>
    <w:rsid w:val="6B2861C3"/>
    <w:rsid w:val="6BA12F67"/>
    <w:rsid w:val="6BF27837"/>
    <w:rsid w:val="6CBEA894"/>
    <w:rsid w:val="6D0972F4"/>
    <w:rsid w:val="6D3FA19B"/>
    <w:rsid w:val="6D6D6796"/>
    <w:rsid w:val="6DFBF453"/>
    <w:rsid w:val="6E191187"/>
    <w:rsid w:val="6E6C3185"/>
    <w:rsid w:val="6EFF1416"/>
    <w:rsid w:val="6F2D645E"/>
    <w:rsid w:val="6F603212"/>
    <w:rsid w:val="6FA925DE"/>
    <w:rsid w:val="6FDF1672"/>
    <w:rsid w:val="70E93679"/>
    <w:rsid w:val="7105238E"/>
    <w:rsid w:val="7115709B"/>
    <w:rsid w:val="71911E6D"/>
    <w:rsid w:val="71A7701B"/>
    <w:rsid w:val="72667171"/>
    <w:rsid w:val="738F3E99"/>
    <w:rsid w:val="73C121C4"/>
    <w:rsid w:val="75BC5958"/>
    <w:rsid w:val="76BF1AD7"/>
    <w:rsid w:val="76D5C33D"/>
    <w:rsid w:val="777E5A9A"/>
    <w:rsid w:val="77E7CB3A"/>
    <w:rsid w:val="78825D13"/>
    <w:rsid w:val="78AF3495"/>
    <w:rsid w:val="78DB4E08"/>
    <w:rsid w:val="796206B9"/>
    <w:rsid w:val="7A1B571A"/>
    <w:rsid w:val="7AD62E87"/>
    <w:rsid w:val="7B4F4CC6"/>
    <w:rsid w:val="7BBF61B8"/>
    <w:rsid w:val="7C6B2FB2"/>
    <w:rsid w:val="7CA82D31"/>
    <w:rsid w:val="7CC391A8"/>
    <w:rsid w:val="7CD23236"/>
    <w:rsid w:val="7CD32DA8"/>
    <w:rsid w:val="7CEF8E06"/>
    <w:rsid w:val="7D4E1912"/>
    <w:rsid w:val="7D54A830"/>
    <w:rsid w:val="7DB41F2E"/>
    <w:rsid w:val="7DDFA32B"/>
    <w:rsid w:val="7DFB3603"/>
    <w:rsid w:val="7DFD31F1"/>
    <w:rsid w:val="7DFD3F5E"/>
    <w:rsid w:val="7DFE8DA0"/>
    <w:rsid w:val="7DFF66F3"/>
    <w:rsid w:val="7E7344C6"/>
    <w:rsid w:val="7EEF3234"/>
    <w:rsid w:val="7EEF5332"/>
    <w:rsid w:val="7F76591D"/>
    <w:rsid w:val="7F9FDBD1"/>
    <w:rsid w:val="7FB67572"/>
    <w:rsid w:val="7FB7419D"/>
    <w:rsid w:val="7FD34391"/>
    <w:rsid w:val="7FD59670"/>
    <w:rsid w:val="7FDF4615"/>
    <w:rsid w:val="7FF38BC2"/>
    <w:rsid w:val="7FF7D270"/>
    <w:rsid w:val="7FFF6B89"/>
    <w:rsid w:val="96B63D53"/>
    <w:rsid w:val="9D7E5CB8"/>
    <w:rsid w:val="9FDF70BB"/>
    <w:rsid w:val="A5E98D2C"/>
    <w:rsid w:val="AFEF43A6"/>
    <w:rsid w:val="BA7D2D6D"/>
    <w:rsid w:val="BABE417E"/>
    <w:rsid w:val="BBCF6B31"/>
    <w:rsid w:val="BE7FFC3E"/>
    <w:rsid w:val="BF47BC96"/>
    <w:rsid w:val="BFA55C3C"/>
    <w:rsid w:val="BFFEA2FA"/>
    <w:rsid w:val="CD3384CA"/>
    <w:rsid w:val="CDEDC0F7"/>
    <w:rsid w:val="CEF3B10E"/>
    <w:rsid w:val="CFFE9EEA"/>
    <w:rsid w:val="D3B7F357"/>
    <w:rsid w:val="D7B7E2AB"/>
    <w:rsid w:val="D9BD9156"/>
    <w:rsid w:val="DAB18C57"/>
    <w:rsid w:val="DD7E38DA"/>
    <w:rsid w:val="DEC75E16"/>
    <w:rsid w:val="DF7E5720"/>
    <w:rsid w:val="DFAEA939"/>
    <w:rsid w:val="DFB95610"/>
    <w:rsid w:val="DFBF3109"/>
    <w:rsid w:val="DFE72287"/>
    <w:rsid w:val="E4E74005"/>
    <w:rsid w:val="E58DC6E0"/>
    <w:rsid w:val="E6FE49B4"/>
    <w:rsid w:val="E8F7C381"/>
    <w:rsid w:val="E9F793BE"/>
    <w:rsid w:val="EC7EFDC2"/>
    <w:rsid w:val="ECE581F4"/>
    <w:rsid w:val="ED7BABE2"/>
    <w:rsid w:val="EFB1E3BF"/>
    <w:rsid w:val="EFDE8178"/>
    <w:rsid w:val="F2BFECBB"/>
    <w:rsid w:val="F35F912E"/>
    <w:rsid w:val="F3A625EB"/>
    <w:rsid w:val="F3AFAF99"/>
    <w:rsid w:val="F3FCF68F"/>
    <w:rsid w:val="F5BF25CE"/>
    <w:rsid w:val="F5BFBD58"/>
    <w:rsid w:val="F6664FFA"/>
    <w:rsid w:val="F66E1AA3"/>
    <w:rsid w:val="F6DB548B"/>
    <w:rsid w:val="F76EFF2E"/>
    <w:rsid w:val="F9FD5461"/>
    <w:rsid w:val="FAADDD13"/>
    <w:rsid w:val="FAB75FD7"/>
    <w:rsid w:val="FAF59BB5"/>
    <w:rsid w:val="FB3F736F"/>
    <w:rsid w:val="FBD09AE4"/>
    <w:rsid w:val="FBEF01DD"/>
    <w:rsid w:val="FBF74CCE"/>
    <w:rsid w:val="FC96D70C"/>
    <w:rsid w:val="FDFF6C65"/>
    <w:rsid w:val="FE7EDA0E"/>
    <w:rsid w:val="FEB992F6"/>
    <w:rsid w:val="FEBEAA1C"/>
    <w:rsid w:val="FF3F71B3"/>
    <w:rsid w:val="FF74C860"/>
    <w:rsid w:val="FF77DB86"/>
    <w:rsid w:val="FFADD4E1"/>
    <w:rsid w:val="FFB127DF"/>
    <w:rsid w:val="FFBF9213"/>
    <w:rsid w:val="FFCE3819"/>
    <w:rsid w:val="FFDC69ED"/>
    <w:rsid w:val="FFDFD76A"/>
    <w:rsid w:val="FFFD1F28"/>
    <w:rsid w:val="FFFEAAD0"/>
    <w:rsid w:val="FFFF692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99" w:semiHidden="0" w:name="heading 2" w:locked="1"/>
    <w:lsdException w:qFormat="1" w:unhideWhenUsed="0" w:uiPriority="99" w:semiHidden="0" w:name="heading 3" w:locked="1"/>
    <w:lsdException w:qFormat="1" w:unhideWhenUsed="0" w:uiPriority="99" w:semiHidden="0" w:name="heading 4" w:locked="1"/>
    <w:lsdException w:qFormat="1" w:unhideWhenUsed="0" w:uiPriority="99" w:semiHidden="0" w:name="heading 5" w:locked="1"/>
    <w:lsdException w:qFormat="1" w:unhideWhenUsed="0" w:uiPriority="99" w:semiHidden="0" w:name="heading 6" w:locked="1"/>
    <w:lsdException w:qFormat="1" w:unhideWhenUsed="0" w:uiPriority="99" w:semiHidden="0" w:name="heading 7" w:locked="1"/>
    <w:lsdException w:qFormat="1" w:unhideWhenUsed="0" w:uiPriority="99" w:semiHidden="0" w:name="heading 8" w:locked="1"/>
    <w:lsdException w:qFormat="1" w:unhideWhenUsed="0" w:uiPriority="99" w:semiHidden="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ocked="1"/>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ocked="1"/>
    <w:lsdException w:uiPriority="99" w:name="Salutation"/>
    <w:lsdException w:qFormat="1"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99" w:semiHidden="0" w:name="Strong"/>
    <w:lsdException w:qFormat="1" w:unhideWhenUsed="0" w:uiPriority="99" w:semiHidden="0" w:name="Emphasis"/>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23"/>
    <w:qFormat/>
    <w:uiPriority w:val="0"/>
    <w:pPr>
      <w:widowControl w:val="0"/>
      <w:jc w:val="both"/>
    </w:pPr>
    <w:rPr>
      <w:rFonts w:ascii="Times New Roman" w:hAnsi="Times New Roman" w:eastAsia="宋体" w:cs="Times New Roman"/>
      <w:kern w:val="2"/>
      <w:sz w:val="32"/>
      <w:lang w:val="en-US" w:eastAsia="zh-CN" w:bidi="ar-SA"/>
    </w:rPr>
  </w:style>
  <w:style w:type="paragraph" w:styleId="4">
    <w:name w:val="heading 1"/>
    <w:basedOn w:val="1"/>
    <w:next w:val="1"/>
    <w:link w:val="40"/>
    <w:qFormat/>
    <w:locked/>
    <w:uiPriority w:val="0"/>
    <w:pPr>
      <w:spacing w:beforeAutospacing="1" w:afterAutospacing="1"/>
      <w:jc w:val="left"/>
      <w:outlineLvl w:val="0"/>
    </w:pPr>
    <w:rPr>
      <w:rFonts w:ascii="宋体" w:hAnsi="宋体"/>
      <w:b/>
      <w:kern w:val="44"/>
      <w:sz w:val="48"/>
      <w:szCs w:val="48"/>
    </w:rPr>
  </w:style>
  <w:style w:type="paragraph" w:styleId="5">
    <w:name w:val="heading 2"/>
    <w:basedOn w:val="1"/>
    <w:next w:val="1"/>
    <w:link w:val="41"/>
    <w:qFormat/>
    <w:locked/>
    <w:uiPriority w:val="99"/>
    <w:pPr>
      <w:keepNext/>
      <w:widowControl/>
      <w:spacing w:line="595" w:lineRule="exact"/>
      <w:ind w:firstLine="200" w:firstLineChars="200"/>
      <w:jc w:val="left"/>
      <w:outlineLvl w:val="1"/>
    </w:pPr>
    <w:rPr>
      <w:rFonts w:ascii="Cambria" w:hAnsi="Cambria" w:eastAsia="黑体"/>
      <w:bCs/>
      <w:iCs/>
      <w:kern w:val="0"/>
      <w:szCs w:val="28"/>
    </w:rPr>
  </w:style>
  <w:style w:type="paragraph" w:styleId="6">
    <w:name w:val="heading 3"/>
    <w:basedOn w:val="1"/>
    <w:next w:val="1"/>
    <w:link w:val="42"/>
    <w:qFormat/>
    <w:locked/>
    <w:uiPriority w:val="99"/>
    <w:pPr>
      <w:keepNext/>
      <w:widowControl/>
      <w:spacing w:line="595" w:lineRule="exact"/>
      <w:ind w:firstLine="200" w:firstLineChars="200"/>
      <w:jc w:val="left"/>
      <w:outlineLvl w:val="2"/>
    </w:pPr>
    <w:rPr>
      <w:rFonts w:ascii="Cambria" w:hAnsi="Cambria" w:eastAsia="楷体_GB2312"/>
      <w:b/>
      <w:kern w:val="0"/>
      <w:szCs w:val="26"/>
    </w:rPr>
  </w:style>
  <w:style w:type="paragraph" w:styleId="7">
    <w:name w:val="heading 4"/>
    <w:basedOn w:val="1"/>
    <w:next w:val="1"/>
    <w:link w:val="43"/>
    <w:qFormat/>
    <w:locked/>
    <w:uiPriority w:val="99"/>
    <w:pPr>
      <w:keepNext/>
      <w:keepLines/>
      <w:spacing w:line="372" w:lineRule="auto"/>
      <w:outlineLvl w:val="3"/>
    </w:pPr>
    <w:rPr>
      <w:rFonts w:ascii="Arial" w:hAnsi="Arial" w:eastAsia="黑体"/>
      <w:b/>
      <w:sz w:val="28"/>
    </w:rPr>
  </w:style>
  <w:style w:type="paragraph" w:styleId="8">
    <w:name w:val="heading 5"/>
    <w:basedOn w:val="1"/>
    <w:next w:val="1"/>
    <w:link w:val="44"/>
    <w:qFormat/>
    <w:locked/>
    <w:uiPriority w:val="99"/>
    <w:pPr>
      <w:keepNext/>
      <w:keepLines/>
      <w:spacing w:line="372" w:lineRule="auto"/>
      <w:outlineLvl w:val="4"/>
    </w:pPr>
    <w:rPr>
      <w:b/>
      <w:sz w:val="28"/>
    </w:rPr>
  </w:style>
  <w:style w:type="paragraph" w:styleId="9">
    <w:name w:val="heading 6"/>
    <w:basedOn w:val="1"/>
    <w:next w:val="1"/>
    <w:link w:val="45"/>
    <w:qFormat/>
    <w:locked/>
    <w:uiPriority w:val="99"/>
    <w:pPr>
      <w:keepNext/>
      <w:keepLines/>
      <w:spacing w:line="317" w:lineRule="auto"/>
      <w:outlineLvl w:val="5"/>
    </w:pPr>
    <w:rPr>
      <w:rFonts w:ascii="Arial" w:hAnsi="Arial" w:eastAsia="黑体"/>
      <w:b/>
      <w:sz w:val="24"/>
    </w:rPr>
  </w:style>
  <w:style w:type="paragraph" w:styleId="10">
    <w:name w:val="heading 7"/>
    <w:basedOn w:val="1"/>
    <w:next w:val="1"/>
    <w:link w:val="46"/>
    <w:qFormat/>
    <w:locked/>
    <w:uiPriority w:val="99"/>
    <w:pPr>
      <w:keepNext/>
      <w:keepLines/>
      <w:spacing w:line="317" w:lineRule="auto"/>
      <w:outlineLvl w:val="6"/>
    </w:pPr>
    <w:rPr>
      <w:b/>
      <w:sz w:val="24"/>
    </w:rPr>
  </w:style>
  <w:style w:type="paragraph" w:styleId="11">
    <w:name w:val="heading 8"/>
    <w:basedOn w:val="1"/>
    <w:next w:val="1"/>
    <w:link w:val="47"/>
    <w:qFormat/>
    <w:locked/>
    <w:uiPriority w:val="99"/>
    <w:pPr>
      <w:keepNext/>
      <w:keepLines/>
      <w:spacing w:line="317" w:lineRule="auto"/>
      <w:outlineLvl w:val="7"/>
    </w:pPr>
    <w:rPr>
      <w:rFonts w:ascii="Arial" w:hAnsi="Arial" w:eastAsia="黑体"/>
      <w:sz w:val="24"/>
    </w:rPr>
  </w:style>
  <w:style w:type="paragraph" w:styleId="12">
    <w:name w:val="heading 9"/>
    <w:basedOn w:val="1"/>
    <w:next w:val="1"/>
    <w:link w:val="48"/>
    <w:qFormat/>
    <w:locked/>
    <w:uiPriority w:val="99"/>
    <w:pPr>
      <w:keepNext/>
      <w:keepLines/>
      <w:spacing w:line="317" w:lineRule="auto"/>
      <w:outlineLvl w:val="8"/>
    </w:pPr>
    <w:rPr>
      <w:rFonts w:ascii="Arial" w:hAnsi="Arial" w:eastAsia="黑体"/>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7"/>
    <w:semiHidden/>
    <w:unhideWhenUsed/>
    <w:qFormat/>
    <w:uiPriority w:val="99"/>
    <w:pPr>
      <w:spacing w:after="120"/>
    </w:pPr>
  </w:style>
  <w:style w:type="paragraph" w:customStyle="1" w:styleId="3">
    <w:name w:val="Default"/>
    <w:basedOn w:val="1"/>
    <w:qFormat/>
    <w:uiPriority w:val="99"/>
    <w:pPr>
      <w:autoSpaceDE w:val="0"/>
      <w:autoSpaceDN w:val="0"/>
      <w:adjustRightInd w:val="0"/>
      <w:jc w:val="left"/>
    </w:pPr>
    <w:rPr>
      <w:rFonts w:ascii="仿宋_GB2312" w:hAnsi="Calibri" w:eastAsia="仿宋_GB2312"/>
      <w:color w:val="000000"/>
      <w:kern w:val="0"/>
      <w:sz w:val="24"/>
      <w:szCs w:val="24"/>
    </w:rPr>
  </w:style>
  <w:style w:type="paragraph" w:styleId="13">
    <w:name w:val="Document Map"/>
    <w:basedOn w:val="1"/>
    <w:link w:val="75"/>
    <w:semiHidden/>
    <w:qFormat/>
    <w:uiPriority w:val="99"/>
    <w:rPr>
      <w:rFonts w:ascii="宋体"/>
      <w:sz w:val="18"/>
      <w:szCs w:val="18"/>
    </w:rPr>
  </w:style>
  <w:style w:type="paragraph" w:styleId="14">
    <w:name w:val="annotation text"/>
    <w:basedOn w:val="1"/>
    <w:link w:val="49"/>
    <w:qFormat/>
    <w:uiPriority w:val="99"/>
    <w:pPr>
      <w:jc w:val="left"/>
    </w:pPr>
  </w:style>
  <w:style w:type="paragraph" w:styleId="15">
    <w:name w:val="Date"/>
    <w:basedOn w:val="1"/>
    <w:next w:val="1"/>
    <w:link w:val="76"/>
    <w:semiHidden/>
    <w:unhideWhenUsed/>
    <w:qFormat/>
    <w:uiPriority w:val="99"/>
    <w:pPr>
      <w:ind w:left="100" w:leftChars="2500"/>
    </w:pPr>
  </w:style>
  <w:style w:type="paragraph" w:styleId="16">
    <w:name w:val="Body Text Indent 2"/>
    <w:basedOn w:val="1"/>
    <w:link w:val="50"/>
    <w:qFormat/>
    <w:uiPriority w:val="99"/>
    <w:pPr>
      <w:widowControl/>
      <w:spacing w:before="100" w:beforeAutospacing="1" w:after="100" w:afterAutospacing="1"/>
      <w:jc w:val="left"/>
    </w:pPr>
    <w:rPr>
      <w:rFonts w:ascii="宋体" w:hAnsi="宋体"/>
      <w:kern w:val="0"/>
      <w:sz w:val="24"/>
      <w:szCs w:val="24"/>
    </w:rPr>
  </w:style>
  <w:style w:type="paragraph" w:styleId="17">
    <w:name w:val="Balloon Text"/>
    <w:basedOn w:val="1"/>
    <w:link w:val="51"/>
    <w:semiHidden/>
    <w:qFormat/>
    <w:uiPriority w:val="99"/>
    <w:rPr>
      <w:sz w:val="18"/>
      <w:szCs w:val="18"/>
    </w:rPr>
  </w:style>
  <w:style w:type="paragraph" w:styleId="18">
    <w:name w:val="footer"/>
    <w:basedOn w:val="1"/>
    <w:link w:val="52"/>
    <w:qFormat/>
    <w:uiPriority w:val="99"/>
    <w:pPr>
      <w:tabs>
        <w:tab w:val="center" w:pos="4153"/>
        <w:tab w:val="right" w:pos="8306"/>
      </w:tabs>
      <w:snapToGrid w:val="0"/>
      <w:jc w:val="left"/>
    </w:pPr>
    <w:rPr>
      <w:sz w:val="18"/>
    </w:rPr>
  </w:style>
  <w:style w:type="paragraph" w:styleId="19">
    <w:name w:val="header"/>
    <w:basedOn w:val="1"/>
    <w:link w:val="53"/>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0">
    <w:name w:val="toc 1"/>
    <w:basedOn w:val="1"/>
    <w:next w:val="1"/>
    <w:qFormat/>
    <w:uiPriority w:val="39"/>
    <w:pPr>
      <w:widowControl/>
      <w:spacing w:after="100" w:line="276" w:lineRule="auto"/>
      <w:jc w:val="left"/>
    </w:pPr>
    <w:rPr>
      <w:rFonts w:ascii="Calibri" w:hAnsi="Calibri"/>
      <w:kern w:val="0"/>
      <w:sz w:val="22"/>
      <w:szCs w:val="22"/>
    </w:rPr>
  </w:style>
  <w:style w:type="paragraph" w:styleId="21">
    <w:name w:val="Subtitle"/>
    <w:basedOn w:val="1"/>
    <w:link w:val="56"/>
    <w:qFormat/>
    <w:locked/>
    <w:uiPriority w:val="99"/>
    <w:pPr>
      <w:spacing w:line="312" w:lineRule="auto"/>
      <w:jc w:val="center"/>
      <w:outlineLvl w:val="1"/>
    </w:pPr>
    <w:rPr>
      <w:rFonts w:ascii="Arial" w:hAnsi="Arial"/>
      <w:b/>
      <w:kern w:val="28"/>
    </w:rPr>
  </w:style>
  <w:style w:type="paragraph" w:styleId="22">
    <w:name w:val="toc 2"/>
    <w:basedOn w:val="1"/>
    <w:next w:val="1"/>
    <w:qFormat/>
    <w:uiPriority w:val="39"/>
    <w:pPr>
      <w:widowControl/>
      <w:spacing w:after="100" w:line="276" w:lineRule="auto"/>
      <w:ind w:left="220"/>
      <w:jc w:val="left"/>
    </w:pPr>
    <w:rPr>
      <w:rFonts w:ascii="Calibri" w:hAnsi="Calibri"/>
      <w:kern w:val="0"/>
      <w:sz w:val="22"/>
      <w:szCs w:val="22"/>
    </w:rPr>
  </w:style>
  <w:style w:type="paragraph" w:styleId="23">
    <w:name w:val="HTML Preformatted"/>
    <w:basedOn w:val="1"/>
    <w:link w:val="122"/>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24">
    <w:name w:val="Normal (Web)"/>
    <w:basedOn w:val="1"/>
    <w:qFormat/>
    <w:uiPriority w:val="99"/>
    <w:pPr>
      <w:widowControl/>
      <w:spacing w:line="360" w:lineRule="auto"/>
      <w:ind w:firstLine="200" w:firstLineChars="200"/>
      <w:jc w:val="left"/>
    </w:pPr>
    <w:rPr>
      <w:rFonts w:eastAsia="仿宋_GB2312"/>
      <w:kern w:val="0"/>
      <w:sz w:val="24"/>
      <w:szCs w:val="24"/>
    </w:rPr>
  </w:style>
  <w:style w:type="paragraph" w:styleId="25">
    <w:name w:val="Title"/>
    <w:basedOn w:val="1"/>
    <w:link w:val="57"/>
    <w:qFormat/>
    <w:locked/>
    <w:uiPriority w:val="99"/>
    <w:pPr>
      <w:adjustRightInd w:val="0"/>
      <w:snapToGrid w:val="0"/>
      <w:spacing w:line="560" w:lineRule="exact"/>
      <w:jc w:val="center"/>
      <w:outlineLvl w:val="0"/>
    </w:pPr>
    <w:rPr>
      <w:rFonts w:ascii="方正小标宋_GBK" w:hAnsi="Arial" w:eastAsia="方正小标宋_GBK"/>
      <w:sz w:val="44"/>
    </w:rPr>
  </w:style>
  <w:style w:type="paragraph" w:styleId="26">
    <w:name w:val="annotation subject"/>
    <w:basedOn w:val="14"/>
    <w:next w:val="14"/>
    <w:link w:val="58"/>
    <w:semiHidden/>
    <w:qFormat/>
    <w:uiPriority w:val="99"/>
    <w:rPr>
      <w:b/>
    </w:rPr>
  </w:style>
  <w:style w:type="paragraph" w:styleId="27">
    <w:name w:val="Body Text First Indent"/>
    <w:basedOn w:val="2"/>
    <w:qFormat/>
    <w:uiPriority w:val="0"/>
  </w:style>
  <w:style w:type="table" w:styleId="29">
    <w:name w:val="Table Grid"/>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1">
    <w:name w:val="Strong"/>
    <w:basedOn w:val="30"/>
    <w:qFormat/>
    <w:uiPriority w:val="99"/>
    <w:rPr>
      <w:rFonts w:cs="Times New Roman"/>
      <w:b/>
      <w:bCs/>
    </w:rPr>
  </w:style>
  <w:style w:type="character" w:styleId="32">
    <w:name w:val="page number"/>
    <w:basedOn w:val="30"/>
    <w:semiHidden/>
    <w:qFormat/>
    <w:uiPriority w:val="99"/>
    <w:rPr>
      <w:rFonts w:cs="Times New Roman"/>
    </w:rPr>
  </w:style>
  <w:style w:type="character" w:styleId="33">
    <w:name w:val="FollowedHyperlink"/>
    <w:basedOn w:val="30"/>
    <w:semiHidden/>
    <w:unhideWhenUsed/>
    <w:qFormat/>
    <w:uiPriority w:val="99"/>
    <w:rPr>
      <w:color w:val="800080" w:themeColor="followedHyperlink"/>
      <w:u w:val="single"/>
      <w14:textFill>
        <w14:solidFill>
          <w14:schemeClr w14:val="folHlink"/>
        </w14:solidFill>
      </w14:textFill>
    </w:rPr>
  </w:style>
  <w:style w:type="character" w:styleId="34">
    <w:name w:val="Emphasis"/>
    <w:basedOn w:val="30"/>
    <w:qFormat/>
    <w:uiPriority w:val="99"/>
    <w:rPr>
      <w:rFonts w:cs="Times New Roman"/>
    </w:rPr>
  </w:style>
  <w:style w:type="character" w:styleId="35">
    <w:name w:val="Hyperlink"/>
    <w:basedOn w:val="30"/>
    <w:qFormat/>
    <w:uiPriority w:val="99"/>
    <w:rPr>
      <w:rFonts w:cs="Times New Roman"/>
      <w:color w:val="0000FF"/>
      <w:u w:val="single"/>
    </w:rPr>
  </w:style>
  <w:style w:type="character" w:styleId="36">
    <w:name w:val="annotation reference"/>
    <w:semiHidden/>
    <w:unhideWhenUsed/>
    <w:qFormat/>
    <w:uiPriority w:val="99"/>
    <w:rPr>
      <w:sz w:val="21"/>
      <w:szCs w:val="21"/>
    </w:rPr>
  </w:style>
  <w:style w:type="paragraph" w:customStyle="1" w:styleId="37">
    <w:name w:val="BodyText1I"/>
    <w:basedOn w:val="38"/>
    <w:qFormat/>
    <w:uiPriority w:val="0"/>
    <w:pPr>
      <w:ind w:firstLine="420" w:firstLineChars="100"/>
      <w:jc w:val="both"/>
      <w:textAlignment w:val="baseline"/>
    </w:pPr>
  </w:style>
  <w:style w:type="paragraph" w:customStyle="1" w:styleId="38">
    <w:name w:val="BodyText"/>
    <w:basedOn w:val="1"/>
    <w:next w:val="39"/>
    <w:qFormat/>
    <w:uiPriority w:val="0"/>
    <w:pPr>
      <w:jc w:val="both"/>
      <w:textAlignment w:val="baseline"/>
    </w:pPr>
    <w:rPr>
      <w:rFonts w:ascii="Calibri" w:hAnsi="Calibri" w:eastAsia="仿宋_GB2312"/>
      <w:kern w:val="2"/>
      <w:sz w:val="30"/>
      <w:szCs w:val="22"/>
      <w:lang w:val="en-US" w:eastAsia="zh-CN" w:bidi="ar-SA"/>
    </w:rPr>
  </w:style>
  <w:style w:type="paragraph" w:customStyle="1" w:styleId="39">
    <w:name w:val="UserStyle_0"/>
    <w:basedOn w:val="1"/>
    <w:qFormat/>
    <w:uiPriority w:val="0"/>
    <w:pPr>
      <w:jc w:val="left"/>
      <w:textAlignment w:val="baseline"/>
    </w:pPr>
    <w:rPr>
      <w:rFonts w:ascii="仿宋_GB2312" w:hAnsi="Calibri" w:eastAsia="仿宋_GB2312"/>
      <w:color w:val="000000"/>
      <w:kern w:val="0"/>
      <w:sz w:val="24"/>
      <w:szCs w:val="22"/>
      <w:lang w:val="en-US" w:eastAsia="zh-CN" w:bidi="ar-SA"/>
    </w:rPr>
  </w:style>
  <w:style w:type="character" w:customStyle="1" w:styleId="40">
    <w:name w:val="标题 1 Char"/>
    <w:basedOn w:val="30"/>
    <w:link w:val="4"/>
    <w:qFormat/>
    <w:locked/>
    <w:uiPriority w:val="0"/>
    <w:rPr>
      <w:rFonts w:ascii="宋体" w:eastAsia="宋体" w:cs="Times New Roman"/>
      <w:b/>
      <w:kern w:val="44"/>
      <w:sz w:val="48"/>
      <w:szCs w:val="48"/>
    </w:rPr>
  </w:style>
  <w:style w:type="character" w:customStyle="1" w:styleId="41">
    <w:name w:val="标题 2 Char"/>
    <w:basedOn w:val="30"/>
    <w:link w:val="5"/>
    <w:qFormat/>
    <w:locked/>
    <w:uiPriority w:val="99"/>
    <w:rPr>
      <w:rFonts w:ascii="Cambria" w:hAnsi="Cambria" w:eastAsia="黑体" w:cs="Times New Roman"/>
      <w:bCs/>
      <w:iCs/>
      <w:sz w:val="28"/>
      <w:szCs w:val="28"/>
    </w:rPr>
  </w:style>
  <w:style w:type="character" w:customStyle="1" w:styleId="42">
    <w:name w:val="标题 3 Char"/>
    <w:basedOn w:val="30"/>
    <w:link w:val="6"/>
    <w:qFormat/>
    <w:locked/>
    <w:uiPriority w:val="99"/>
    <w:rPr>
      <w:rFonts w:ascii="Cambria" w:hAnsi="Cambria" w:eastAsia="楷体_GB2312" w:cs="Times New Roman"/>
      <w:b/>
      <w:sz w:val="26"/>
      <w:szCs w:val="26"/>
    </w:rPr>
  </w:style>
  <w:style w:type="character" w:customStyle="1" w:styleId="43">
    <w:name w:val="标题 4 Char"/>
    <w:basedOn w:val="30"/>
    <w:link w:val="7"/>
    <w:qFormat/>
    <w:locked/>
    <w:uiPriority w:val="99"/>
    <w:rPr>
      <w:rFonts w:ascii="Arial" w:hAnsi="Arial" w:eastAsia="黑体" w:cs="Times New Roman"/>
      <w:b/>
      <w:kern w:val="2"/>
      <w:sz w:val="28"/>
    </w:rPr>
  </w:style>
  <w:style w:type="character" w:customStyle="1" w:styleId="44">
    <w:name w:val="标题 5 Char"/>
    <w:basedOn w:val="30"/>
    <w:link w:val="8"/>
    <w:qFormat/>
    <w:locked/>
    <w:uiPriority w:val="99"/>
    <w:rPr>
      <w:rFonts w:cs="Times New Roman"/>
      <w:b/>
      <w:kern w:val="2"/>
      <w:sz w:val="28"/>
    </w:rPr>
  </w:style>
  <w:style w:type="character" w:customStyle="1" w:styleId="45">
    <w:name w:val="标题 6 Char"/>
    <w:basedOn w:val="30"/>
    <w:link w:val="9"/>
    <w:qFormat/>
    <w:locked/>
    <w:uiPriority w:val="99"/>
    <w:rPr>
      <w:rFonts w:ascii="Arial" w:hAnsi="Arial" w:eastAsia="黑体" w:cs="Times New Roman"/>
      <w:b/>
      <w:kern w:val="2"/>
      <w:sz w:val="24"/>
    </w:rPr>
  </w:style>
  <w:style w:type="character" w:customStyle="1" w:styleId="46">
    <w:name w:val="标题 7 Char"/>
    <w:basedOn w:val="30"/>
    <w:link w:val="10"/>
    <w:qFormat/>
    <w:locked/>
    <w:uiPriority w:val="99"/>
    <w:rPr>
      <w:rFonts w:cs="Times New Roman"/>
      <w:b/>
      <w:kern w:val="2"/>
      <w:sz w:val="24"/>
    </w:rPr>
  </w:style>
  <w:style w:type="character" w:customStyle="1" w:styleId="47">
    <w:name w:val="标题 8 Char"/>
    <w:basedOn w:val="30"/>
    <w:link w:val="11"/>
    <w:qFormat/>
    <w:locked/>
    <w:uiPriority w:val="99"/>
    <w:rPr>
      <w:rFonts w:ascii="Arial" w:hAnsi="Arial" w:eastAsia="黑体" w:cs="Times New Roman"/>
      <w:kern w:val="2"/>
      <w:sz w:val="24"/>
    </w:rPr>
  </w:style>
  <w:style w:type="character" w:customStyle="1" w:styleId="48">
    <w:name w:val="标题 9 Char"/>
    <w:basedOn w:val="30"/>
    <w:link w:val="12"/>
    <w:qFormat/>
    <w:locked/>
    <w:uiPriority w:val="99"/>
    <w:rPr>
      <w:rFonts w:ascii="Arial" w:hAnsi="Arial" w:eastAsia="黑体" w:cs="Times New Roman"/>
      <w:kern w:val="2"/>
      <w:sz w:val="21"/>
    </w:rPr>
  </w:style>
  <w:style w:type="character" w:customStyle="1" w:styleId="49">
    <w:name w:val="批注文字 Char"/>
    <w:basedOn w:val="30"/>
    <w:link w:val="14"/>
    <w:qFormat/>
    <w:locked/>
    <w:uiPriority w:val="99"/>
    <w:rPr>
      <w:rFonts w:ascii="Times New Roman" w:hAnsi="Times New Roman" w:cs="Times New Roman"/>
      <w:sz w:val="20"/>
      <w:szCs w:val="20"/>
    </w:rPr>
  </w:style>
  <w:style w:type="character" w:customStyle="1" w:styleId="50">
    <w:name w:val="正文文本缩进 2 Char"/>
    <w:basedOn w:val="30"/>
    <w:link w:val="16"/>
    <w:qFormat/>
    <w:locked/>
    <w:uiPriority w:val="99"/>
    <w:rPr>
      <w:rFonts w:ascii="Times New Roman" w:hAnsi="Times New Roman" w:cs="Times New Roman"/>
      <w:sz w:val="20"/>
      <w:szCs w:val="20"/>
    </w:rPr>
  </w:style>
  <w:style w:type="character" w:customStyle="1" w:styleId="51">
    <w:name w:val="批注框文本 Char"/>
    <w:basedOn w:val="30"/>
    <w:link w:val="17"/>
    <w:semiHidden/>
    <w:qFormat/>
    <w:locked/>
    <w:uiPriority w:val="99"/>
    <w:rPr>
      <w:rFonts w:ascii="Times New Roman" w:hAnsi="Times New Roman" w:cs="Times New Roman"/>
      <w:sz w:val="2"/>
    </w:rPr>
  </w:style>
  <w:style w:type="character" w:customStyle="1" w:styleId="52">
    <w:name w:val="页脚 Char"/>
    <w:basedOn w:val="30"/>
    <w:link w:val="18"/>
    <w:qFormat/>
    <w:locked/>
    <w:uiPriority w:val="99"/>
    <w:rPr>
      <w:rFonts w:ascii="Times New Roman" w:hAnsi="Times New Roman" w:cs="Times New Roman"/>
      <w:sz w:val="18"/>
      <w:szCs w:val="18"/>
    </w:rPr>
  </w:style>
  <w:style w:type="character" w:customStyle="1" w:styleId="53">
    <w:name w:val="页眉 Char"/>
    <w:basedOn w:val="30"/>
    <w:link w:val="19"/>
    <w:qFormat/>
    <w:locked/>
    <w:uiPriority w:val="99"/>
    <w:rPr>
      <w:rFonts w:ascii="Times New Roman" w:hAnsi="Times New Roman" w:cs="Times New Roman"/>
      <w:sz w:val="18"/>
      <w:szCs w:val="18"/>
    </w:rPr>
  </w:style>
  <w:style w:type="paragraph" w:styleId="54">
    <w:name w:val="List Paragraph"/>
    <w:basedOn w:val="1"/>
    <w:qFormat/>
    <w:uiPriority w:val="34"/>
    <w:pPr>
      <w:ind w:firstLine="420" w:firstLineChars="200"/>
    </w:pPr>
  </w:style>
  <w:style w:type="paragraph" w:styleId="55">
    <w:name w:val="No Spacing"/>
    <w:link w:val="83"/>
    <w:qFormat/>
    <w:uiPriority w:val="99"/>
    <w:pPr>
      <w:widowControl w:val="0"/>
      <w:jc w:val="both"/>
    </w:pPr>
    <w:rPr>
      <w:rFonts w:ascii="Times New Roman" w:hAnsi="Times New Roman" w:eastAsia="仿宋_GB2312" w:cs="Times New Roman"/>
      <w:kern w:val="2"/>
      <w:sz w:val="32"/>
      <w:lang w:val="en-US" w:eastAsia="zh-CN" w:bidi="ar-SA"/>
    </w:rPr>
  </w:style>
  <w:style w:type="character" w:customStyle="1" w:styleId="56">
    <w:name w:val="副标题 Char"/>
    <w:basedOn w:val="30"/>
    <w:link w:val="21"/>
    <w:qFormat/>
    <w:locked/>
    <w:uiPriority w:val="99"/>
    <w:rPr>
      <w:rFonts w:ascii="Arial" w:hAnsi="Arial" w:cs="Times New Roman"/>
      <w:b/>
      <w:kern w:val="28"/>
      <w:sz w:val="32"/>
    </w:rPr>
  </w:style>
  <w:style w:type="character" w:customStyle="1" w:styleId="57">
    <w:name w:val="标题 Char"/>
    <w:basedOn w:val="30"/>
    <w:link w:val="25"/>
    <w:qFormat/>
    <w:locked/>
    <w:uiPriority w:val="99"/>
    <w:rPr>
      <w:rFonts w:ascii="方正小标宋_GBK" w:hAnsi="Arial" w:eastAsia="方正小标宋_GBK" w:cs="Times New Roman"/>
      <w:kern w:val="2"/>
      <w:sz w:val="44"/>
    </w:rPr>
  </w:style>
  <w:style w:type="character" w:customStyle="1" w:styleId="58">
    <w:name w:val="批注主题 Char1"/>
    <w:basedOn w:val="30"/>
    <w:link w:val="26"/>
    <w:semiHidden/>
    <w:qFormat/>
    <w:locked/>
    <w:uiPriority w:val="99"/>
    <w:rPr>
      <w:rFonts w:cs="Times New Roman"/>
      <w:b/>
      <w:kern w:val="2"/>
      <w:sz w:val="21"/>
    </w:rPr>
  </w:style>
  <w:style w:type="character" w:customStyle="1" w:styleId="59">
    <w:name w:val="批注主题 Char"/>
    <w:basedOn w:val="49"/>
    <w:qFormat/>
    <w:uiPriority w:val="99"/>
    <w:rPr>
      <w:b/>
      <w:bCs/>
      <w:kern w:val="2"/>
    </w:rPr>
  </w:style>
  <w:style w:type="character" w:customStyle="1" w:styleId="60">
    <w:name w:val="明显引用 Char"/>
    <w:basedOn w:val="30"/>
    <w:qFormat/>
    <w:uiPriority w:val="99"/>
    <w:rPr>
      <w:rFonts w:cs="Times New Roman"/>
      <w:b/>
      <w:i/>
      <w:sz w:val="24"/>
    </w:rPr>
  </w:style>
  <w:style w:type="character" w:customStyle="1" w:styleId="61">
    <w:name w:val="msosubtleemphasis"/>
    <w:basedOn w:val="30"/>
    <w:qFormat/>
    <w:uiPriority w:val="0"/>
    <w:rPr>
      <w:rFonts w:cs="Times New Roman"/>
      <w:i/>
      <w:color w:val="5A5A5A"/>
    </w:rPr>
  </w:style>
  <w:style w:type="character" w:customStyle="1" w:styleId="62">
    <w:name w:val="msosubtlereference"/>
    <w:basedOn w:val="30"/>
    <w:qFormat/>
    <w:uiPriority w:val="0"/>
    <w:rPr>
      <w:rFonts w:cs="Times New Roman"/>
      <w:sz w:val="24"/>
      <w:szCs w:val="24"/>
      <w:u w:val="single"/>
    </w:rPr>
  </w:style>
  <w:style w:type="character" w:customStyle="1" w:styleId="63">
    <w:name w:val="msointenseemphasis"/>
    <w:basedOn w:val="30"/>
    <w:qFormat/>
    <w:uiPriority w:val="0"/>
    <w:rPr>
      <w:rFonts w:cs="Times New Roman"/>
      <w:b/>
      <w:i/>
      <w:sz w:val="24"/>
      <w:szCs w:val="24"/>
      <w:u w:val="single"/>
    </w:rPr>
  </w:style>
  <w:style w:type="paragraph" w:customStyle="1" w:styleId="64">
    <w:name w:val="msonospacing"/>
    <w:basedOn w:val="1"/>
    <w:qFormat/>
    <w:uiPriority w:val="99"/>
    <w:pPr>
      <w:widowControl/>
      <w:spacing w:line="595" w:lineRule="exact"/>
      <w:ind w:firstLine="200" w:firstLineChars="200"/>
      <w:jc w:val="left"/>
    </w:pPr>
    <w:rPr>
      <w:rFonts w:ascii="Calibri" w:hAnsi="Calibri" w:eastAsia="仿宋_GB2312"/>
      <w:kern w:val="0"/>
      <w:szCs w:val="32"/>
    </w:rPr>
  </w:style>
  <w:style w:type="character" w:customStyle="1" w:styleId="65">
    <w:name w:val="msointensereference"/>
    <w:basedOn w:val="30"/>
    <w:qFormat/>
    <w:uiPriority w:val="0"/>
    <w:rPr>
      <w:rFonts w:cs="Times New Roman"/>
      <w:b/>
      <w:sz w:val="24"/>
      <w:u w:val="single"/>
    </w:rPr>
  </w:style>
  <w:style w:type="paragraph" w:customStyle="1" w:styleId="66">
    <w:name w:val="msolistparagraph"/>
    <w:basedOn w:val="1"/>
    <w:qFormat/>
    <w:uiPriority w:val="99"/>
    <w:pPr>
      <w:widowControl/>
      <w:spacing w:line="595" w:lineRule="exact"/>
      <w:ind w:left="720" w:firstLine="200" w:firstLineChars="200"/>
      <w:contextualSpacing/>
      <w:jc w:val="left"/>
    </w:pPr>
    <w:rPr>
      <w:rFonts w:ascii="Calibri" w:hAnsi="Calibri" w:eastAsia="仿宋_GB2312"/>
      <w:kern w:val="0"/>
      <w:szCs w:val="24"/>
    </w:rPr>
  </w:style>
  <w:style w:type="character" w:customStyle="1" w:styleId="67">
    <w:name w:val="纯文本 Char"/>
    <w:basedOn w:val="30"/>
    <w:qFormat/>
    <w:uiPriority w:val="0"/>
    <w:rPr>
      <w:rFonts w:ascii="宋体" w:hAnsi="Courier New" w:eastAsia="宋体" w:cs="宋体"/>
      <w:sz w:val="21"/>
      <w:szCs w:val="21"/>
    </w:rPr>
  </w:style>
  <w:style w:type="character" w:customStyle="1" w:styleId="68">
    <w:name w:val="msobooktitle"/>
    <w:basedOn w:val="30"/>
    <w:qFormat/>
    <w:uiPriority w:val="0"/>
    <w:rPr>
      <w:rFonts w:ascii="Cambria" w:hAnsi="Cambria" w:eastAsia="宋体" w:cs="Cambria"/>
      <w:b/>
      <w:i/>
      <w:sz w:val="24"/>
      <w:szCs w:val="24"/>
    </w:rPr>
  </w:style>
  <w:style w:type="character" w:customStyle="1" w:styleId="69">
    <w:name w:val="纯文本 Char1"/>
    <w:basedOn w:val="30"/>
    <w:qFormat/>
    <w:uiPriority w:val="0"/>
    <w:rPr>
      <w:rFonts w:ascii="宋体" w:hAnsi="Courier New" w:eastAsia="宋体" w:cs="Courier New"/>
      <w:sz w:val="21"/>
      <w:szCs w:val="21"/>
    </w:rPr>
  </w:style>
  <w:style w:type="character" w:customStyle="1" w:styleId="70">
    <w:name w:val="引用 Char"/>
    <w:basedOn w:val="30"/>
    <w:qFormat/>
    <w:uiPriority w:val="99"/>
    <w:rPr>
      <w:rFonts w:cs="Times New Roman"/>
      <w:i/>
      <w:sz w:val="24"/>
      <w:szCs w:val="24"/>
    </w:rPr>
  </w:style>
  <w:style w:type="character" w:customStyle="1" w:styleId="71">
    <w:name w:val="批注文字 Char1"/>
    <w:basedOn w:val="30"/>
    <w:qFormat/>
    <w:uiPriority w:val="0"/>
    <w:rPr>
      <w:rFonts w:ascii="仿宋_GB2312" w:eastAsia="仿宋_GB2312" w:cs="仿宋_GB2312"/>
      <w:sz w:val="24"/>
      <w:szCs w:val="24"/>
    </w:rPr>
  </w:style>
  <w:style w:type="paragraph" w:customStyle="1" w:styleId="72">
    <w:name w:val="无间隔1"/>
    <w:basedOn w:val="1"/>
    <w:link w:val="73"/>
    <w:qFormat/>
    <w:uiPriority w:val="0"/>
    <w:pPr>
      <w:widowControl/>
      <w:spacing w:line="595" w:lineRule="exact"/>
      <w:ind w:firstLine="200" w:firstLineChars="200"/>
      <w:jc w:val="left"/>
    </w:pPr>
    <w:rPr>
      <w:rFonts w:ascii="Calibri" w:hAnsi="Calibri" w:eastAsia="仿宋_GB2312"/>
      <w:kern w:val="0"/>
      <w:szCs w:val="32"/>
    </w:rPr>
  </w:style>
  <w:style w:type="character" w:customStyle="1" w:styleId="73">
    <w:name w:val="无间隔 Char"/>
    <w:basedOn w:val="30"/>
    <w:link w:val="72"/>
    <w:qFormat/>
    <w:locked/>
    <w:uiPriority w:val="0"/>
    <w:rPr>
      <w:rFonts w:ascii="Calibri" w:hAnsi="Calibri" w:eastAsia="仿宋_GB2312" w:cs="Times New Roman"/>
      <w:sz w:val="32"/>
      <w:szCs w:val="32"/>
    </w:rPr>
  </w:style>
  <w:style w:type="paragraph" w:customStyle="1" w:styleId="74">
    <w:name w:val="样式 仿宋 小四 居中"/>
    <w:basedOn w:val="1"/>
    <w:qFormat/>
    <w:uiPriority w:val="99"/>
    <w:pPr>
      <w:jc w:val="center"/>
    </w:pPr>
    <w:rPr>
      <w:rFonts w:ascii="仿宋" w:hAnsi="仿宋" w:eastAsia="仿宋"/>
      <w:sz w:val="24"/>
    </w:rPr>
  </w:style>
  <w:style w:type="character" w:customStyle="1" w:styleId="75">
    <w:name w:val="文档结构图 Char"/>
    <w:basedOn w:val="30"/>
    <w:link w:val="13"/>
    <w:semiHidden/>
    <w:qFormat/>
    <w:locked/>
    <w:uiPriority w:val="99"/>
    <w:rPr>
      <w:rFonts w:ascii="宋体" w:cs="Times New Roman"/>
      <w:kern w:val="2"/>
      <w:sz w:val="18"/>
      <w:szCs w:val="18"/>
    </w:rPr>
  </w:style>
  <w:style w:type="character" w:customStyle="1" w:styleId="76">
    <w:name w:val="日期 Char"/>
    <w:basedOn w:val="30"/>
    <w:link w:val="15"/>
    <w:semiHidden/>
    <w:qFormat/>
    <w:uiPriority w:val="99"/>
    <w:rPr>
      <w:szCs w:val="20"/>
    </w:rPr>
  </w:style>
  <w:style w:type="paragraph" w:customStyle="1" w:styleId="77">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8">
    <w:name w:val="纯文本1"/>
    <w:basedOn w:val="1"/>
    <w:qFormat/>
    <w:uiPriority w:val="0"/>
    <w:rPr>
      <w:rFonts w:ascii="宋体" w:hAnsi="Courier New" w:cs="Courier New"/>
      <w:sz w:val="21"/>
      <w:szCs w:val="21"/>
    </w:rPr>
  </w:style>
  <w:style w:type="character" w:customStyle="1" w:styleId="79">
    <w:name w:val="已访问的超链接1"/>
    <w:basedOn w:val="30"/>
    <w:semiHidden/>
    <w:unhideWhenUsed/>
    <w:qFormat/>
    <w:uiPriority w:val="99"/>
    <w:rPr>
      <w:color w:val="954F72"/>
      <w:u w:val="single"/>
    </w:rPr>
  </w:style>
  <w:style w:type="character" w:customStyle="1" w:styleId="80">
    <w:name w:val="HTML 预设格式 Char"/>
    <w:basedOn w:val="30"/>
    <w:link w:val="23"/>
    <w:semiHidden/>
    <w:qFormat/>
    <w:uiPriority w:val="99"/>
    <w:rPr>
      <w:rFonts w:ascii="Courier New" w:hAnsi="Courier New" w:cs="Courier New"/>
      <w:kern w:val="2"/>
    </w:rPr>
  </w:style>
  <w:style w:type="paragraph" w:customStyle="1" w:styleId="81">
    <w:name w:val="正文文本1"/>
    <w:basedOn w:val="1"/>
    <w:next w:val="2"/>
    <w:link w:val="82"/>
    <w:semiHidden/>
    <w:unhideWhenUsed/>
    <w:qFormat/>
    <w:uiPriority w:val="99"/>
    <w:rPr>
      <w:rFonts w:ascii="Calibri" w:hAnsi="Calibri" w:eastAsia="仿宋_GB2312"/>
      <w:sz w:val="30"/>
      <w:szCs w:val="24"/>
    </w:rPr>
  </w:style>
  <w:style w:type="character" w:customStyle="1" w:styleId="82">
    <w:name w:val="正文文本 Char"/>
    <w:basedOn w:val="30"/>
    <w:link w:val="81"/>
    <w:semiHidden/>
    <w:qFormat/>
    <w:uiPriority w:val="99"/>
    <w:rPr>
      <w:rFonts w:ascii="Calibri" w:hAnsi="Calibri" w:eastAsia="仿宋_GB2312" w:cs="Times New Roman"/>
      <w:kern w:val="2"/>
      <w:sz w:val="30"/>
      <w:szCs w:val="24"/>
    </w:rPr>
  </w:style>
  <w:style w:type="character" w:customStyle="1" w:styleId="83">
    <w:name w:val="无间隔 Char1"/>
    <w:link w:val="55"/>
    <w:qFormat/>
    <w:locked/>
    <w:uiPriority w:val="99"/>
    <w:rPr>
      <w:rFonts w:eastAsia="仿宋_GB2312"/>
      <w:kern w:val="2"/>
      <w:sz w:val="32"/>
    </w:rPr>
  </w:style>
  <w:style w:type="paragraph" w:styleId="84">
    <w:name w:val="Quote"/>
    <w:basedOn w:val="1"/>
    <w:next w:val="1"/>
    <w:link w:val="113"/>
    <w:qFormat/>
    <w:uiPriority w:val="99"/>
    <w:pPr>
      <w:widowControl/>
      <w:spacing w:line="595" w:lineRule="exact"/>
      <w:ind w:firstLine="200" w:firstLineChars="200"/>
      <w:jc w:val="left"/>
    </w:pPr>
    <w:rPr>
      <w:rFonts w:ascii="等线" w:hAnsi="等线" w:eastAsia="等线"/>
      <w:i/>
      <w:kern w:val="0"/>
      <w:sz w:val="24"/>
      <w:szCs w:val="24"/>
    </w:rPr>
  </w:style>
  <w:style w:type="character" w:customStyle="1" w:styleId="85">
    <w:name w:val="引用 Char1"/>
    <w:basedOn w:val="30"/>
    <w:link w:val="84"/>
    <w:qFormat/>
    <w:uiPriority w:val="99"/>
    <w:rPr>
      <w:i/>
      <w:iCs/>
      <w:color w:val="000000" w:themeColor="text1"/>
      <w:kern w:val="2"/>
      <w:sz w:val="32"/>
      <w14:textFill>
        <w14:solidFill>
          <w14:schemeClr w14:val="tx1"/>
        </w14:solidFill>
      </w14:textFill>
    </w:rPr>
  </w:style>
  <w:style w:type="paragraph" w:styleId="86">
    <w:name w:val="Intense Quote"/>
    <w:basedOn w:val="1"/>
    <w:next w:val="1"/>
    <w:link w:val="114"/>
    <w:qFormat/>
    <w:uiPriority w:val="99"/>
    <w:pPr>
      <w:widowControl/>
      <w:spacing w:line="595" w:lineRule="exact"/>
      <w:ind w:left="720" w:right="720" w:firstLine="200" w:firstLineChars="200"/>
      <w:jc w:val="left"/>
    </w:pPr>
    <w:rPr>
      <w:rFonts w:ascii="等线" w:hAnsi="等线" w:eastAsia="等线"/>
      <w:b/>
      <w:i/>
      <w:kern w:val="0"/>
      <w:sz w:val="24"/>
    </w:rPr>
  </w:style>
  <w:style w:type="character" w:customStyle="1" w:styleId="87">
    <w:name w:val="明显引用 Char1"/>
    <w:basedOn w:val="30"/>
    <w:link w:val="86"/>
    <w:qFormat/>
    <w:uiPriority w:val="99"/>
    <w:rPr>
      <w:b/>
      <w:bCs/>
      <w:i/>
      <w:iCs/>
      <w:color w:val="4F81BD" w:themeColor="accent1"/>
      <w:kern w:val="2"/>
      <w:sz w:val="32"/>
      <w14:textFill>
        <w14:solidFill>
          <w14:schemeClr w14:val="accent1"/>
        </w14:solidFill>
      </w14:textFill>
    </w:rPr>
  </w:style>
  <w:style w:type="paragraph" w:customStyle="1" w:styleId="88">
    <w:name w:val="修订1"/>
    <w:semiHidden/>
    <w:qFormat/>
    <w:uiPriority w:val="99"/>
    <w:rPr>
      <w:rFonts w:ascii="等线" w:hAnsi="等线" w:eastAsia="仿宋_GB2312" w:cs="Times New Roman"/>
      <w:sz w:val="32"/>
      <w:szCs w:val="24"/>
      <w:lang w:val="en-US" w:eastAsia="zh-CN" w:bidi="ar-SA"/>
    </w:rPr>
  </w:style>
  <w:style w:type="paragraph" w:customStyle="1" w:styleId="89">
    <w:name w:val="TOC 标题1"/>
    <w:basedOn w:val="4"/>
    <w:next w:val="1"/>
    <w:qFormat/>
    <w:uiPriority w:val="39"/>
    <w:pPr>
      <w:keepNext/>
      <w:widowControl/>
      <w:spacing w:beforeAutospacing="0" w:afterAutospacing="0" w:line="595" w:lineRule="exact"/>
      <w:jc w:val="center"/>
      <w:outlineLvl w:val="9"/>
    </w:pPr>
    <w:rPr>
      <w:rFonts w:ascii="等线 Light" w:hAnsi="等线 Light" w:eastAsia="华文中宋"/>
      <w:bCs/>
      <w:kern w:val="32"/>
      <w:sz w:val="44"/>
      <w:szCs w:val="32"/>
    </w:rPr>
  </w:style>
  <w:style w:type="paragraph" w:customStyle="1" w:styleId="90">
    <w:name w:val="Char Char Char Char Char Char"/>
    <w:basedOn w:val="1"/>
    <w:qFormat/>
    <w:uiPriority w:val="99"/>
    <w:pPr>
      <w:widowControl/>
      <w:spacing w:line="595" w:lineRule="exact"/>
      <w:ind w:firstLine="200" w:firstLineChars="200"/>
      <w:jc w:val="left"/>
    </w:pPr>
    <w:rPr>
      <w:rFonts w:ascii="等线" w:hAnsi="等线" w:eastAsia="仿宋_GB2312"/>
      <w:kern w:val="0"/>
      <w:szCs w:val="24"/>
    </w:rPr>
  </w:style>
  <w:style w:type="paragraph" w:customStyle="1" w:styleId="91">
    <w:name w:val="目录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92">
    <w:name w:val="目录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3">
    <w:name w:val="目录 21"/>
    <w:basedOn w:val="1"/>
    <w:next w:val="1"/>
    <w:qFormat/>
    <w:uiPriority w:val="39"/>
    <w:pPr>
      <w:widowControl/>
      <w:spacing w:after="100" w:line="276" w:lineRule="auto"/>
      <w:ind w:left="220"/>
      <w:jc w:val="left"/>
    </w:pPr>
    <w:rPr>
      <w:rFonts w:ascii="等线" w:hAnsi="等线" w:eastAsia="等线"/>
      <w:kern w:val="0"/>
      <w:sz w:val="22"/>
      <w:szCs w:val="22"/>
    </w:rPr>
  </w:style>
  <w:style w:type="paragraph" w:customStyle="1" w:styleId="94">
    <w:name w:val="TOC 31"/>
    <w:basedOn w:val="1"/>
    <w:next w:val="1"/>
    <w:qFormat/>
    <w:uiPriority w:val="39"/>
    <w:pPr>
      <w:widowControl/>
      <w:tabs>
        <w:tab w:val="right" w:leader="dot" w:pos="8834"/>
      </w:tabs>
      <w:spacing w:after="100" w:line="276" w:lineRule="auto"/>
      <w:ind w:left="440"/>
      <w:jc w:val="left"/>
    </w:pPr>
    <w:rPr>
      <w:rFonts w:ascii="等线" w:hAnsi="等线" w:eastAsia="等线"/>
      <w:kern w:val="0"/>
      <w:sz w:val="22"/>
      <w:szCs w:val="22"/>
    </w:rPr>
  </w:style>
  <w:style w:type="paragraph" w:customStyle="1" w:styleId="95">
    <w:name w:val="TOC 11"/>
    <w:basedOn w:val="1"/>
    <w:next w:val="1"/>
    <w:qFormat/>
    <w:uiPriority w:val="39"/>
    <w:pPr>
      <w:widowControl/>
      <w:spacing w:after="100" w:line="276" w:lineRule="auto"/>
      <w:jc w:val="left"/>
    </w:pPr>
    <w:rPr>
      <w:rFonts w:ascii="等线" w:hAnsi="等线" w:eastAsia="等线"/>
      <w:kern w:val="0"/>
      <w:sz w:val="22"/>
      <w:szCs w:val="22"/>
    </w:rPr>
  </w:style>
  <w:style w:type="paragraph" w:customStyle="1" w:styleId="96">
    <w:name w:val="TOC 21"/>
    <w:basedOn w:val="1"/>
    <w:next w:val="1"/>
    <w:qFormat/>
    <w:uiPriority w:val="39"/>
    <w:pPr>
      <w:widowControl/>
      <w:spacing w:after="100" w:line="276" w:lineRule="auto"/>
      <w:ind w:left="220"/>
      <w:jc w:val="left"/>
    </w:pPr>
    <w:rPr>
      <w:rFonts w:ascii="等线" w:hAnsi="等线" w:eastAsia="等线"/>
      <w:kern w:val="0"/>
      <w:sz w:val="22"/>
      <w:szCs w:val="22"/>
    </w:rPr>
  </w:style>
  <w:style w:type="character" w:customStyle="1" w:styleId="97">
    <w:name w:val="15"/>
    <w:basedOn w:val="30"/>
    <w:qFormat/>
    <w:uiPriority w:val="0"/>
    <w:rPr>
      <w:rFonts w:hint="default" w:ascii="Times New Roman" w:hAnsi="Times New Roman" w:cs="Times New Roman"/>
      <w:b/>
      <w:bCs/>
      <w:color w:val="000000"/>
      <w:sz w:val="24"/>
      <w:szCs w:val="24"/>
    </w:rPr>
  </w:style>
  <w:style w:type="character" w:customStyle="1" w:styleId="98">
    <w:name w:val="页眉 字符"/>
    <w:qFormat/>
    <w:uiPriority w:val="99"/>
    <w:rPr>
      <w:sz w:val="18"/>
      <w:szCs w:val="18"/>
    </w:rPr>
  </w:style>
  <w:style w:type="character" w:customStyle="1" w:styleId="99">
    <w:name w:val="页脚 字符"/>
    <w:qFormat/>
    <w:uiPriority w:val="99"/>
    <w:rPr>
      <w:sz w:val="18"/>
      <w:szCs w:val="18"/>
    </w:rPr>
  </w:style>
  <w:style w:type="character" w:customStyle="1" w:styleId="100">
    <w:name w:val="标题 1 字符"/>
    <w:qFormat/>
    <w:uiPriority w:val="0"/>
    <w:rPr>
      <w:rFonts w:hint="eastAsia" w:ascii="等线 Light" w:hAnsi="等线 Light" w:eastAsia="华文中宋" w:cs="宋体"/>
      <w:b/>
      <w:bCs/>
      <w:kern w:val="32"/>
      <w:sz w:val="44"/>
      <w:szCs w:val="32"/>
    </w:rPr>
  </w:style>
  <w:style w:type="character" w:customStyle="1" w:styleId="101">
    <w:name w:val="标题 2 字符"/>
    <w:qFormat/>
    <w:uiPriority w:val="99"/>
    <w:rPr>
      <w:rFonts w:hint="eastAsia" w:ascii="等线 Light" w:hAnsi="等线 Light" w:eastAsia="黑体" w:cs="宋体"/>
      <w:bCs/>
      <w:iCs/>
      <w:kern w:val="0"/>
      <w:sz w:val="32"/>
      <w:szCs w:val="28"/>
    </w:rPr>
  </w:style>
  <w:style w:type="character" w:customStyle="1" w:styleId="102">
    <w:name w:val="标题 3 字符"/>
    <w:qFormat/>
    <w:uiPriority w:val="99"/>
    <w:rPr>
      <w:rFonts w:hint="eastAsia" w:ascii="等线 Light" w:hAnsi="等线 Light" w:eastAsia="楷体_GB2312" w:cs="宋体"/>
      <w:b/>
      <w:bCs/>
      <w:kern w:val="0"/>
      <w:sz w:val="32"/>
      <w:szCs w:val="26"/>
    </w:rPr>
  </w:style>
  <w:style w:type="character" w:customStyle="1" w:styleId="103">
    <w:name w:val="标题 4 字符"/>
    <w:semiHidden/>
    <w:qFormat/>
    <w:uiPriority w:val="99"/>
    <w:rPr>
      <w:rFonts w:hint="eastAsia" w:ascii="等线" w:hAnsi="等线" w:eastAsia="等线" w:cs="宋体"/>
      <w:b/>
      <w:bCs/>
      <w:kern w:val="0"/>
      <w:sz w:val="28"/>
      <w:szCs w:val="28"/>
    </w:rPr>
  </w:style>
  <w:style w:type="character" w:customStyle="1" w:styleId="104">
    <w:name w:val="标题 5 字符"/>
    <w:semiHidden/>
    <w:qFormat/>
    <w:uiPriority w:val="99"/>
    <w:rPr>
      <w:rFonts w:hint="eastAsia" w:ascii="等线" w:hAnsi="等线" w:eastAsia="等线" w:cs="宋体"/>
      <w:b/>
      <w:bCs/>
      <w:i/>
      <w:iCs/>
      <w:kern w:val="0"/>
      <w:sz w:val="26"/>
      <w:szCs w:val="26"/>
    </w:rPr>
  </w:style>
  <w:style w:type="character" w:customStyle="1" w:styleId="105">
    <w:name w:val="标题 6 字符"/>
    <w:semiHidden/>
    <w:qFormat/>
    <w:uiPriority w:val="99"/>
    <w:rPr>
      <w:rFonts w:hint="eastAsia" w:ascii="等线" w:hAnsi="等线" w:eastAsia="等线" w:cs="宋体"/>
      <w:b/>
      <w:bCs/>
      <w:kern w:val="0"/>
      <w:sz w:val="22"/>
    </w:rPr>
  </w:style>
  <w:style w:type="character" w:customStyle="1" w:styleId="106">
    <w:name w:val="标题 7 字符"/>
    <w:semiHidden/>
    <w:qFormat/>
    <w:uiPriority w:val="99"/>
    <w:rPr>
      <w:rFonts w:hint="eastAsia" w:ascii="等线" w:hAnsi="等线" w:eastAsia="等线" w:cs="Times New Roman"/>
      <w:kern w:val="0"/>
      <w:sz w:val="24"/>
      <w:szCs w:val="24"/>
    </w:rPr>
  </w:style>
  <w:style w:type="character" w:customStyle="1" w:styleId="107">
    <w:name w:val="标题 8 字符"/>
    <w:semiHidden/>
    <w:qFormat/>
    <w:uiPriority w:val="99"/>
    <w:rPr>
      <w:rFonts w:hint="eastAsia" w:ascii="等线" w:hAnsi="等线" w:eastAsia="等线" w:cs="Times New Roman"/>
      <w:i/>
      <w:iCs/>
      <w:kern w:val="0"/>
      <w:sz w:val="24"/>
      <w:szCs w:val="24"/>
    </w:rPr>
  </w:style>
  <w:style w:type="character" w:customStyle="1" w:styleId="108">
    <w:name w:val="标题 9 字符"/>
    <w:semiHidden/>
    <w:qFormat/>
    <w:uiPriority w:val="99"/>
    <w:rPr>
      <w:rFonts w:hint="eastAsia" w:ascii="等线 Light" w:hAnsi="等线 Light" w:eastAsia="等线 Light" w:cs="Times New Roman"/>
      <w:kern w:val="0"/>
      <w:sz w:val="22"/>
    </w:rPr>
  </w:style>
  <w:style w:type="character" w:customStyle="1" w:styleId="109">
    <w:name w:val="titlestyle"/>
    <w:qFormat/>
    <w:uiPriority w:val="0"/>
    <w:rPr>
      <w:rFonts w:hint="default" w:ascii="Times New Roman" w:hAnsi="Times New Roman" w:cs="Times New Roman"/>
    </w:rPr>
  </w:style>
  <w:style w:type="character" w:customStyle="1" w:styleId="110">
    <w:name w:val="标题 字符"/>
    <w:qFormat/>
    <w:uiPriority w:val="99"/>
    <w:rPr>
      <w:rFonts w:hint="eastAsia" w:ascii="等线 Light" w:hAnsi="等线 Light" w:eastAsia="等线 Light" w:cs="Times New Roman"/>
      <w:b/>
      <w:bCs/>
      <w:kern w:val="28"/>
      <w:sz w:val="32"/>
      <w:szCs w:val="32"/>
    </w:rPr>
  </w:style>
  <w:style w:type="character" w:customStyle="1" w:styleId="111">
    <w:name w:val="副标题 字符"/>
    <w:qFormat/>
    <w:uiPriority w:val="99"/>
    <w:rPr>
      <w:rFonts w:hint="eastAsia" w:ascii="等线 Light" w:hAnsi="等线 Light" w:eastAsia="等线 Light" w:cs="Times New Roman"/>
      <w:kern w:val="0"/>
      <w:sz w:val="24"/>
      <w:szCs w:val="24"/>
    </w:rPr>
  </w:style>
  <w:style w:type="character" w:customStyle="1" w:styleId="112">
    <w:name w:val="批注框文本 字符"/>
    <w:semiHidden/>
    <w:qFormat/>
    <w:uiPriority w:val="99"/>
    <w:rPr>
      <w:rFonts w:hint="eastAsia" w:ascii="等线" w:hAnsi="等线" w:eastAsia="仿宋_GB2312" w:cs="Times New Roman"/>
      <w:kern w:val="0"/>
      <w:sz w:val="18"/>
      <w:szCs w:val="18"/>
    </w:rPr>
  </w:style>
  <w:style w:type="character" w:customStyle="1" w:styleId="113">
    <w:name w:val="引用 Char2"/>
    <w:link w:val="84"/>
    <w:qFormat/>
    <w:locked/>
    <w:uiPriority w:val="99"/>
    <w:rPr>
      <w:rFonts w:ascii="等线" w:hAnsi="等线" w:eastAsia="等线"/>
      <w:i/>
      <w:sz w:val="24"/>
      <w:szCs w:val="24"/>
    </w:rPr>
  </w:style>
  <w:style w:type="character" w:customStyle="1" w:styleId="114">
    <w:name w:val="明显引用 Char2"/>
    <w:link w:val="86"/>
    <w:qFormat/>
    <w:locked/>
    <w:uiPriority w:val="99"/>
    <w:rPr>
      <w:rFonts w:ascii="等线" w:hAnsi="等线" w:eastAsia="等线"/>
      <w:b/>
      <w:i/>
      <w:sz w:val="24"/>
    </w:rPr>
  </w:style>
  <w:style w:type="character" w:customStyle="1" w:styleId="115">
    <w:name w:val="不明显强调1"/>
    <w:qFormat/>
    <w:uiPriority w:val="99"/>
    <w:rPr>
      <w:rFonts w:hint="default" w:ascii="Times New Roman" w:hAnsi="Times New Roman" w:cs="Times New Roman"/>
      <w:i/>
      <w:color w:val="5A5A5A"/>
    </w:rPr>
  </w:style>
  <w:style w:type="character" w:customStyle="1" w:styleId="116">
    <w:name w:val="明显强调1"/>
    <w:qFormat/>
    <w:uiPriority w:val="99"/>
    <w:rPr>
      <w:rFonts w:hint="default" w:ascii="Times New Roman" w:hAnsi="Times New Roman" w:cs="Times New Roman"/>
      <w:b/>
      <w:i/>
      <w:sz w:val="24"/>
      <w:szCs w:val="24"/>
      <w:u w:val="single"/>
    </w:rPr>
  </w:style>
  <w:style w:type="character" w:customStyle="1" w:styleId="117">
    <w:name w:val="不明显参考1"/>
    <w:qFormat/>
    <w:uiPriority w:val="99"/>
    <w:rPr>
      <w:rFonts w:hint="default" w:ascii="Times New Roman" w:hAnsi="Times New Roman" w:cs="Times New Roman"/>
      <w:sz w:val="24"/>
      <w:szCs w:val="24"/>
      <w:u w:val="single"/>
    </w:rPr>
  </w:style>
  <w:style w:type="character" w:customStyle="1" w:styleId="118">
    <w:name w:val="明显参考1"/>
    <w:qFormat/>
    <w:uiPriority w:val="99"/>
    <w:rPr>
      <w:rFonts w:hint="default" w:ascii="Times New Roman" w:hAnsi="Times New Roman" w:cs="Times New Roman"/>
      <w:b/>
      <w:sz w:val="24"/>
      <w:u w:val="single"/>
    </w:rPr>
  </w:style>
  <w:style w:type="character" w:customStyle="1" w:styleId="119">
    <w:name w:val="书籍标题1"/>
    <w:qFormat/>
    <w:uiPriority w:val="99"/>
    <w:rPr>
      <w:rFonts w:hint="eastAsia" w:ascii="等线 Light" w:hAnsi="等线 Light" w:eastAsia="等线 Light" w:cs="Times New Roman"/>
      <w:b/>
      <w:i/>
      <w:sz w:val="24"/>
      <w:szCs w:val="24"/>
    </w:rPr>
  </w:style>
  <w:style w:type="character" w:customStyle="1" w:styleId="120">
    <w:name w:val="批注文字 字符"/>
    <w:semiHidden/>
    <w:qFormat/>
    <w:uiPriority w:val="99"/>
    <w:rPr>
      <w:rFonts w:hint="default" w:ascii="Times New Roman" w:hAnsi="Times New Roman" w:eastAsia="宋体" w:cs="Times New Roman"/>
      <w:szCs w:val="20"/>
    </w:rPr>
  </w:style>
  <w:style w:type="character" w:customStyle="1" w:styleId="121">
    <w:name w:val="正文文本缩进 2 字符"/>
    <w:semiHidden/>
    <w:qFormat/>
    <w:uiPriority w:val="99"/>
    <w:rPr>
      <w:rFonts w:hint="eastAsia" w:ascii="宋体" w:hAnsi="宋体" w:eastAsia="宋体" w:cs="Times New Roman"/>
      <w:kern w:val="0"/>
      <w:sz w:val="24"/>
      <w:szCs w:val="24"/>
    </w:rPr>
  </w:style>
  <w:style w:type="character" w:customStyle="1" w:styleId="122">
    <w:name w:val="HTML 预设格式 Char1"/>
    <w:link w:val="23"/>
    <w:semiHidden/>
    <w:qFormat/>
    <w:locked/>
    <w:uiPriority w:val="99"/>
    <w:rPr>
      <w:rFonts w:ascii="宋体" w:hAnsi="宋体"/>
      <w:sz w:val="24"/>
      <w:szCs w:val="24"/>
    </w:rPr>
  </w:style>
  <w:style w:type="character" w:customStyle="1" w:styleId="123">
    <w:name w:val="NormalCharacter"/>
    <w:link w:val="1"/>
    <w:semiHidden/>
    <w:qFormat/>
    <w:uiPriority w:val="99"/>
    <w:rPr>
      <w:rFonts w:ascii="Times New Roman" w:hAnsi="Times New Roman" w:eastAsia="宋体" w:cs="Times New Roman"/>
      <w:kern w:val="2"/>
      <w:sz w:val="32"/>
      <w:lang w:val="en-US" w:eastAsia="zh-CN" w:bidi="ar-SA"/>
    </w:rPr>
  </w:style>
  <w:style w:type="character" w:customStyle="1" w:styleId="124">
    <w:name w:val="访问过的超链接1"/>
    <w:semiHidden/>
    <w:qFormat/>
    <w:uiPriority w:val="99"/>
    <w:rPr>
      <w:color w:val="800080"/>
      <w:u w:val="single"/>
    </w:rPr>
  </w:style>
  <w:style w:type="table" w:customStyle="1" w:styleId="125">
    <w:name w:val="网格型1"/>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26">
    <w:name w:val="网格型2"/>
    <w:basedOn w:val="2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27">
    <w:name w:val="正文文本 Char1"/>
    <w:basedOn w:val="30"/>
    <w:link w:val="2"/>
    <w:semiHidden/>
    <w:qFormat/>
    <w:uiPriority w:val="99"/>
    <w:rPr>
      <w:kern w:val="2"/>
      <w:sz w:val="32"/>
    </w:rPr>
  </w:style>
  <w:style w:type="table" w:customStyle="1" w:styleId="128">
    <w:name w:val="网格型12"/>
    <w:basedOn w:val="28"/>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9">
    <w:name w:val="È¡À?"/>
    <w:basedOn w:val="1"/>
    <w:qFormat/>
    <w:uiPriority w:val="0"/>
    <w:pPr>
      <w:widowControl/>
      <w:overflowPunct w:val="0"/>
      <w:autoSpaceDE w:val="0"/>
      <w:autoSpaceDN w:val="0"/>
      <w:adjustRightInd w:val="0"/>
      <w:jc w:val="left"/>
      <w:textAlignment w:val="baseline"/>
    </w:pPr>
    <w:rPr>
      <w:kern w:val="0"/>
      <w:sz w:val="24"/>
    </w:rPr>
  </w:style>
  <w:style w:type="paragraph" w:customStyle="1" w:styleId="130">
    <w:name w:val=" Char Char1 Char Char1"/>
    <w:basedOn w:val="1"/>
    <w:qFormat/>
    <w:uiPriority w:val="0"/>
    <w:rPr>
      <w:kern w:val="0"/>
      <w:sz w:val="20"/>
      <w:szCs w:val="20"/>
    </w:rPr>
  </w:style>
  <w:style w:type="paragraph" w:customStyle="1" w:styleId="131">
    <w:name w:val="Body text|1"/>
    <w:basedOn w:val="1"/>
    <w:qFormat/>
    <w:uiPriority w:val="0"/>
    <w:pPr>
      <w:widowControl w:val="0"/>
      <w:shd w:val="clear" w:color="auto" w:fill="auto"/>
      <w:spacing w:after="600" w:line="413"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191</Words>
  <Characters>1094</Characters>
  <Lines>9</Lines>
  <Paragraphs>2</Paragraphs>
  <TotalTime>15</TotalTime>
  <ScaleCrop>false</ScaleCrop>
  <LinksUpToDate>false</LinksUpToDate>
  <CharactersWithSpaces>1283</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2020-10-30T23:16:00Z</dcterms:created>
  <dc:creator>lenovo</dc:creator>
  <cp:lastModifiedBy>user</cp:lastModifiedBy>
  <cp:lastPrinted>2021-10-26T16:20:49Z</cp:lastPrinted>
  <dcterms:modified xsi:type="dcterms:W3CDTF">2021-10-26T16:49:35Z</dcterms:modified>
  <dc:title>川科计〔2018〕  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