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128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附件3</w:t>
      </w:r>
    </w:p>
    <w:p>
      <w:pPr>
        <w:spacing w:afterLines="50" w:line="54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afterLines="50" w:line="54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_GBK" w:cs="Times New Roman"/>
          <w:sz w:val="36"/>
          <w:szCs w:val="36"/>
        </w:rPr>
        <w:t>全国技术先进型服务企业认定申报表</w:t>
      </w:r>
      <w:bookmarkEnd w:id="0"/>
    </w:p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tbl>
      <w:tblPr>
        <w:tblStyle w:val="1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1532"/>
        <w:gridCol w:w="2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企业名称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（盖章）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企业英文名称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所属城市</w:t>
            </w: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填报日期</w:t>
            </w:r>
          </w:p>
        </w:tc>
        <w:tc>
          <w:tcPr>
            <w:tcW w:w="2998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填 表 人</w:t>
            </w: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电    话</w:t>
            </w:r>
          </w:p>
        </w:tc>
        <w:tc>
          <w:tcPr>
            <w:tcW w:w="2998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传    真</w:t>
            </w: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电子邮件</w:t>
            </w:r>
          </w:p>
        </w:tc>
        <w:tc>
          <w:tcPr>
            <w:tcW w:w="2998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u w:val="single"/>
              </w:rPr>
              <w:t xml:space="preserve">                </w:t>
            </w: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40" w:lineRule="exact"/>
        <w:ind w:firstLine="585"/>
        <w:rPr>
          <w:rFonts w:ascii="Times New Roman" w:hAnsi="Times New Roman" w:eastAsia="仿宋_GB2312" w:cs="Times New Roman"/>
          <w:sz w:val="30"/>
        </w:rPr>
      </w:pPr>
    </w:p>
    <w:p>
      <w:pPr>
        <w:spacing w:line="540" w:lineRule="exact"/>
        <w:ind w:firstLine="585"/>
        <w:rPr>
          <w:rFonts w:ascii="Times New Roman" w:hAnsi="Times New Roman" w:eastAsia="仿宋_GB2312" w:cs="Times New Roman"/>
          <w:sz w:val="30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p>
      <w:pPr>
        <w:pStyle w:val="9"/>
        <w:spacing w:line="540" w:lineRule="exact"/>
        <w:ind w:left="-160" w:leftChars="-50"/>
        <w:jc w:val="center"/>
        <w:rPr>
          <w:rFonts w:eastAsia="仿宋_GB2312"/>
          <w:b w:val="0"/>
          <w:bCs/>
          <w:sz w:val="30"/>
          <w:szCs w:val="30"/>
        </w:rPr>
      </w:pPr>
      <w:r>
        <w:rPr>
          <w:rFonts w:eastAsia="仿宋_GB2312"/>
          <w:b w:val="0"/>
          <w:bCs/>
          <w:sz w:val="30"/>
          <w:szCs w:val="30"/>
        </w:rPr>
        <w:t xml:space="preserve">二 О 二 </w:t>
      </w:r>
      <w:r>
        <w:rPr>
          <w:rFonts w:hint="eastAsia" w:eastAsia="仿宋_GB2312"/>
          <w:b w:val="0"/>
          <w:bCs/>
          <w:sz w:val="30"/>
          <w:szCs w:val="30"/>
          <w:lang w:eastAsia="zh-CN"/>
        </w:rPr>
        <w:t>二</w:t>
      </w:r>
      <w:r>
        <w:rPr>
          <w:rFonts w:eastAsia="仿宋_GB2312"/>
          <w:b w:val="0"/>
          <w:bCs/>
          <w:sz w:val="30"/>
          <w:szCs w:val="30"/>
        </w:rPr>
        <w:t xml:space="preserve"> 年 三 月</w:t>
      </w:r>
    </w:p>
    <w:p>
      <w:pPr>
        <w:widowControl/>
        <w:spacing w:line="540" w:lineRule="exact"/>
        <w:jc w:val="center"/>
        <w:rPr>
          <w:rFonts w:ascii="Times New Roman" w:hAnsi="Times New Roman" w:cs="Times New Roman"/>
          <w:b/>
          <w:sz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b/>
          <w:kern w:val="20"/>
          <w:sz w:val="44"/>
          <w:szCs w:val="44"/>
        </w:rPr>
      </w:pPr>
    </w:p>
    <w:p>
      <w:pPr>
        <w:spacing w:afterLines="100" w:line="560" w:lineRule="exact"/>
        <w:jc w:val="center"/>
        <w:rPr>
          <w:rFonts w:hint="eastAsia" w:ascii="方正小标宋_GBK" w:hAnsi="方正小标宋_GBK" w:eastAsia="方正小标宋_GBK" w:cs="方正小标宋_GBK"/>
          <w:kern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0"/>
          <w:sz w:val="36"/>
          <w:szCs w:val="36"/>
        </w:rPr>
        <w:t>填 表 说 明</w:t>
      </w:r>
    </w:p>
    <w:p>
      <w:pPr>
        <w:tabs>
          <w:tab w:val="left" w:pos="8820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仿宋_GB2312" w:cs="Times New Roman"/>
          <w:kern w:val="20"/>
          <w:sz w:val="32"/>
          <w:szCs w:val="32"/>
        </w:rPr>
        <w:t>企业须根据《关于将技术先进型服务企业所得税政策推广至全国实施的通知》（财税〔2017〕79号）的各项要求和本表的格式如实填写。如发现弄虚作假，取消认定资格。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一、统一社会信用代码：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按照国家标准委制定的标准填写，参见《法人和其他组织统一社会信用代码编制规则》。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二、企业注册类型：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根据国家统计局与国家工商行政管理局联合制定的《关于划分企业登记注册类型的规定调整的通知》（国统字〔2011〕86号）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三、服务业务范围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可选择多个。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四、企业认定情况：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高新技术企业应是企业拥有的高新技术企业证书在有效期内，其编号在“高新技术企业认定管理工作网”可查的企业；集成电路企业和软件企业为报财政部、税务总局、国家发展改革委、工业和信息化部备案的企业；科技型中小企业为在“全国科技型中小企业评价工作系统”中入库且登记编号可查的企业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五、主要股东及所占股份比例：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股份制企业、外商投资企业和港、澳、台投资企业填写此栏，并按股权比例大小列出前三名股东和所占股份比例数。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六、总收入：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指收入总额减去不征税收入。收入总额与不征税收入按照《中华人民共和国企业所得税法》及《中华人民共和国企业所得税实施条例》的规定计算。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七、技术先进型服务业务收入：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指企业从事《关于将技术先进型服务企业所得税政策推广至全国实施的通知》（财税〔2017〕79号）中附件技术先进型服务业务认定范围（试行）中的一种或多种技术先进型服务的企业所取得的收入。</w:t>
      </w:r>
    </w:p>
    <w:p>
      <w:pPr>
        <w:spacing w:line="560" w:lineRule="exact"/>
        <w:ind w:firstLine="607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黑体" w:cs="Times New Roman"/>
          <w:kern w:val="20"/>
          <w:sz w:val="32"/>
          <w:szCs w:val="32"/>
        </w:rPr>
        <w:t>八、离岸外包服务业务取得的收入：</w:t>
      </w:r>
      <w:r>
        <w:rPr>
          <w:rFonts w:ascii="Times New Roman" w:hAnsi="Times New Roman" w:eastAsia="仿宋_GB2312" w:cs="Times New Roman"/>
          <w:kern w:val="20"/>
          <w:sz w:val="32"/>
          <w:szCs w:val="32"/>
        </w:rPr>
        <w:t>指企业根据境外单位与其签订的委托合同，由本企业或其直接转包的企业为境外单位提供《技术先进型服务企业认定范围（试行）》中所规定的信息技术外包服务（ITO）、技术型业务流程外包服务（BPO）、技术性知识流程外包服务（KPO）和服务贸易类服务，而从上述境外单位取得的收入。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20"/>
          <w:sz w:val="32"/>
          <w:szCs w:val="32"/>
        </w:rPr>
      </w:pPr>
      <w:r>
        <w:rPr>
          <w:rFonts w:ascii="Times New Roman" w:hAnsi="Times New Roman" w:eastAsia="仿宋_GB2312" w:cs="Times New Roman"/>
          <w:kern w:val="20"/>
          <w:sz w:val="32"/>
          <w:szCs w:val="32"/>
        </w:rPr>
        <w:br w:type="page"/>
      </w:r>
    </w:p>
    <w:tbl>
      <w:tblPr>
        <w:tblStyle w:val="18"/>
        <w:tblpPr w:leftFromText="180" w:rightFromText="180" w:vertAnchor="text" w:horzAnchor="margin" w:tblpXSpec="center" w:tblpY="-155"/>
        <w:tblW w:w="10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101"/>
        <w:gridCol w:w="533"/>
        <w:gridCol w:w="89"/>
        <w:gridCol w:w="473"/>
        <w:gridCol w:w="259"/>
        <w:gridCol w:w="313"/>
        <w:gridCol w:w="257"/>
        <w:gridCol w:w="644"/>
        <w:gridCol w:w="56"/>
        <w:gridCol w:w="266"/>
        <w:gridCol w:w="194"/>
        <w:gridCol w:w="207"/>
        <w:gridCol w:w="259"/>
        <w:gridCol w:w="474"/>
        <w:gridCol w:w="473"/>
        <w:gridCol w:w="234"/>
        <w:gridCol w:w="355"/>
        <w:gridCol w:w="96"/>
        <w:gridCol w:w="35"/>
        <w:gridCol w:w="24"/>
        <w:gridCol w:w="150"/>
        <w:gridCol w:w="102"/>
        <w:gridCol w:w="281"/>
        <w:gridCol w:w="193"/>
        <w:gridCol w:w="182"/>
        <w:gridCol w:w="100"/>
        <w:gridCol w:w="196"/>
        <w:gridCol w:w="504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企业基本信息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72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统一社会信用代码</w:t>
            </w:r>
          </w:p>
        </w:tc>
        <w:tc>
          <w:tcPr>
            <w:tcW w:w="34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成立日期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企业所得税征收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机关</w:t>
            </w:r>
          </w:p>
        </w:tc>
        <w:tc>
          <w:tcPr>
            <w:tcW w:w="72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住所</w:t>
            </w:r>
          </w:p>
        </w:tc>
        <w:tc>
          <w:tcPr>
            <w:tcW w:w="34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注册资本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企业注册类型</w:t>
            </w:r>
          </w:p>
        </w:tc>
        <w:tc>
          <w:tcPr>
            <w:tcW w:w="72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经营范围</w:t>
            </w:r>
          </w:p>
        </w:tc>
        <w:tc>
          <w:tcPr>
            <w:tcW w:w="72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服务业务范围</w:t>
            </w:r>
          </w:p>
        </w:tc>
        <w:tc>
          <w:tcPr>
            <w:tcW w:w="219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□信息技术外包服务（ITO）                   </w:t>
            </w:r>
          </w:p>
        </w:tc>
        <w:tc>
          <w:tcPr>
            <w:tcW w:w="2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（1）软件研发及外包：</w:t>
            </w:r>
          </w:p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□软件研发及开发服务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□软件技术服务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（2）信息技术研发服务外包：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□集成电路和电子电路设计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□测试平台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（3）信息系统运营维护外包：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□信息系统运营和维护服务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□基础信息技术服务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□技术性业务流程外包服务（BPO）</w:t>
            </w:r>
          </w:p>
        </w:tc>
        <w:tc>
          <w:tcPr>
            <w:tcW w:w="50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□企业业务流程设计服务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□企业内部管理服务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□企业运营服务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□企业供应链管理数据库服务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□技术性知识流程外包服务（KPO）</w:t>
            </w:r>
          </w:p>
        </w:tc>
        <w:tc>
          <w:tcPr>
            <w:tcW w:w="50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包括知识产权研究、医药和生物技术研发和测试、产品技术研发、工业设计、分析学和数据挖掘、动漫及网游设计研发、教育课件研发、工程设计等领域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服务贸易类</w:t>
            </w:r>
          </w:p>
        </w:tc>
        <w:tc>
          <w:tcPr>
            <w:tcW w:w="1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(1)计算机和信息服务：</w:t>
            </w:r>
          </w:p>
        </w:tc>
        <w:tc>
          <w:tcPr>
            <w:tcW w:w="31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□信息系统集成服务 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□数据服务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(2)研究开发和技术服务：</w:t>
            </w:r>
          </w:p>
        </w:tc>
        <w:tc>
          <w:tcPr>
            <w:tcW w:w="31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□研究和实验开发服务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□工业设计服务 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□知识产权跨境许可与转让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(3)文化技术服务：</w:t>
            </w:r>
          </w:p>
        </w:tc>
        <w:tc>
          <w:tcPr>
            <w:tcW w:w="31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□文化产品数字制作及相关服务 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□文化产品的对外翻译、配音及制作服务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(4)中医药医疗服务：</w:t>
            </w:r>
          </w:p>
        </w:tc>
        <w:tc>
          <w:tcPr>
            <w:tcW w:w="31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□中医药医疗保健及相关服务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企业认定情况</w:t>
            </w:r>
          </w:p>
        </w:tc>
        <w:tc>
          <w:tcPr>
            <w:tcW w:w="72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□高新技术企业    □集成电路企业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□软件企业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□科技型中小企业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前三大股东及所占股份比例（100字以内）</w:t>
            </w:r>
          </w:p>
        </w:tc>
        <w:tc>
          <w:tcPr>
            <w:tcW w:w="72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企业人员情况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6"/>
                <w:sz w:val="24"/>
              </w:rPr>
              <w:t>文化程度/学位</w:t>
            </w: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专业技术职称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法定代表人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总裁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3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（总经理）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9" w:leftChars="-27" w:right="-64" w:rightChars="-20" w:hanging="57" w:hangingChars="2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人员变化情况</w:t>
            </w: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上年末职工总数</w:t>
            </w:r>
          </w:p>
        </w:tc>
        <w:tc>
          <w:tcPr>
            <w:tcW w:w="52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前年末职工总数</w:t>
            </w:r>
          </w:p>
        </w:tc>
        <w:tc>
          <w:tcPr>
            <w:tcW w:w="52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上年末具有大专以上学历人员数</w:t>
            </w:r>
          </w:p>
        </w:tc>
        <w:tc>
          <w:tcPr>
            <w:tcW w:w="2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上年末具有大专以上学历人员占职工总数的比例</w:t>
            </w:r>
          </w:p>
        </w:tc>
        <w:tc>
          <w:tcPr>
            <w:tcW w:w="314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上年末从事研究开发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的人员数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4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上年度企业经营情况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总收入（万元）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</w:p>
        </w:tc>
        <w:tc>
          <w:tcPr>
            <w:tcW w:w="210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离岸服务外包业务取得的收入（外汇/按银行结汇日汇率折算人民币）</w:t>
            </w: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技术先进型服务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业务收入（万元）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</w:t>
            </w:r>
          </w:p>
        </w:tc>
        <w:tc>
          <w:tcPr>
            <w:tcW w:w="2100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技术先进型服务业务取得的收入占企业当年总收入比例（%）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</w:p>
        </w:tc>
        <w:tc>
          <w:tcPr>
            <w:tcW w:w="21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离岸服务外包业务取得的收入占企业当年总收入比例（%）</w:t>
            </w:r>
          </w:p>
        </w:tc>
        <w:tc>
          <w:tcPr>
            <w:tcW w:w="293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净利润（万元）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</w:p>
        </w:tc>
        <w:tc>
          <w:tcPr>
            <w:tcW w:w="21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交税总额（万元）</w:t>
            </w:r>
          </w:p>
        </w:tc>
        <w:tc>
          <w:tcPr>
            <w:tcW w:w="293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资产总额（万元）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</w:t>
            </w:r>
          </w:p>
        </w:tc>
        <w:tc>
          <w:tcPr>
            <w:tcW w:w="21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资产负债率（%）</w:t>
            </w:r>
          </w:p>
        </w:tc>
        <w:tc>
          <w:tcPr>
            <w:tcW w:w="293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上年度企业技术先进型服务情况</w:t>
            </w:r>
          </w:p>
        </w:tc>
        <w:tc>
          <w:tcPr>
            <w:tcW w:w="94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主要离岸服务合同执行情况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业务类别</w:t>
            </w:r>
          </w:p>
          <w:p>
            <w:pPr>
              <w:spacing w:line="300" w:lineRule="exact"/>
              <w:ind w:leftChars="-18" w:right="-128" w:rightChars="-40" w:hanging="57" w:hangingChars="1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ITO/BPO/KPO</w:t>
            </w:r>
          </w:p>
        </w:tc>
        <w:tc>
          <w:tcPr>
            <w:tcW w:w="1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发包国别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（地区）</w:t>
            </w: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6" w:leftChars="-44" w:right="-169" w:rightChars="-53" w:hanging="85" w:hangingChars="37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合同标的额</w:t>
            </w:r>
            <w:r>
              <w:rPr>
                <w:rFonts w:ascii="Times New Roman" w:hAnsi="Times New Roman" w:eastAsia="仿宋_GB2312" w:cs="Times New Roman"/>
                <w:spacing w:val="-16"/>
                <w:sz w:val="24"/>
              </w:rPr>
              <w:t>（万美元）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实收外汇</w:t>
            </w:r>
            <w:r>
              <w:rPr>
                <w:rFonts w:ascii="Times New Roman" w:hAnsi="Times New Roman" w:eastAsia="仿宋_GB2312" w:cs="Times New Roman"/>
                <w:spacing w:val="-14"/>
                <w:sz w:val="24"/>
              </w:rPr>
              <w:t xml:space="preserve"> 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9" w:leftChars="3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3" w:rightChars="-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企业采用先进技术情况</w:t>
            </w:r>
          </w:p>
        </w:tc>
        <w:tc>
          <w:tcPr>
            <w:tcW w:w="9431" w:type="dxa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简述企业为支撑服务外包业务已采用的专利技术或核心关键技术、基础软件和应用软件、主要设备与网络的情况（250字以内）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31" w:type="dxa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上年度企业科技活动情况</w:t>
            </w:r>
          </w:p>
        </w:tc>
        <w:tc>
          <w:tcPr>
            <w:tcW w:w="94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研究与开发经费投入情况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用于研究开发的经费（万元）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</w:p>
        </w:tc>
        <w:tc>
          <w:tcPr>
            <w:tcW w:w="2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研发经费占企业总收入的比例（%）</w:t>
            </w: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获得科技奖励情况（省级及以上）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奖励名称</w:t>
            </w:r>
          </w:p>
        </w:tc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获奖年度</w:t>
            </w:r>
          </w:p>
        </w:tc>
        <w:tc>
          <w:tcPr>
            <w:tcW w:w="1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级别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自主知识产权（有效期内）数量（件）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40" w:right="-122" w:rightChars="-38" w:hanging="84" w:hangingChars="3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授权专利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31" w:right="-99" w:rightChars="-31" w:hanging="64" w:hangingChars="27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软件著作权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6" w:leftChars="-42" w:right="-99" w:rightChars="-31" w:hanging="88" w:hangingChars="37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集成电路布图设计专有权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24" w:hanging="50" w:hangingChars="2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其它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1002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line="300" w:lineRule="exact"/>
              <w:jc w:val="center"/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  <w:t>企业承诺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我公司申报技术先进型服务企业提供的《技术先进型服务企业申请表》内容及所有佐证材料，真实有效，并对以上内容及材料的真实性承担法律责任。</w:t>
            </w:r>
          </w:p>
          <w:p>
            <w:pPr>
              <w:snapToGrid w:val="0"/>
              <w:spacing w:afterLines="100"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特此承诺。                               </w:t>
            </w:r>
          </w:p>
          <w:p>
            <w:pPr>
              <w:snapToGrid w:val="0"/>
              <w:spacing w:line="300" w:lineRule="exact"/>
              <w:ind w:firstLine="4320" w:firstLineChars="18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企业法人签字：</w:t>
            </w:r>
          </w:p>
          <w:p>
            <w:pPr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盖章</w:t>
            </w:r>
          </w:p>
          <w:p>
            <w:pPr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002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主管部门意见：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盖 章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年    月    日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jc w:val="both"/>
        <w:rPr>
          <w:rFonts w:hint="default" w:ascii="黑体" w:hAnsi="黑体" w:eastAsia="黑体" w:cs="黑体"/>
          <w:sz w:val="28"/>
          <w:szCs w:val="28"/>
          <w:lang w:eastAsia="zh-CN"/>
        </w:rPr>
      </w:pPr>
    </w:p>
    <w:sectPr>
      <w:headerReference r:id="rId7" w:type="default"/>
      <w:footerReference r:id="rId8" w:type="default"/>
      <w:pgSz w:w="11906" w:h="16838"/>
      <w:pgMar w:top="2098" w:right="1474" w:bottom="1985" w:left="1588" w:header="851" w:footer="15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doni MT">
    <w:altName w:val="DejaVu Serif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320"/>
  <w:drawingGridVerticalSpacing w:val="221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07F77B3B"/>
    <w:rsid w:val="1DDB2A11"/>
    <w:rsid w:val="26D464F6"/>
    <w:rsid w:val="2764F340"/>
    <w:rsid w:val="29EE46AF"/>
    <w:rsid w:val="2F97DD88"/>
    <w:rsid w:val="2FBF35E5"/>
    <w:rsid w:val="33B77C4C"/>
    <w:rsid w:val="38261B76"/>
    <w:rsid w:val="39FF18F7"/>
    <w:rsid w:val="3BCDE2A9"/>
    <w:rsid w:val="3C3F3D06"/>
    <w:rsid w:val="3D65FACF"/>
    <w:rsid w:val="3F6E653C"/>
    <w:rsid w:val="3FB89E1A"/>
    <w:rsid w:val="3FC71E18"/>
    <w:rsid w:val="3FF9B8A1"/>
    <w:rsid w:val="47FA757E"/>
    <w:rsid w:val="49565E72"/>
    <w:rsid w:val="49B35ECA"/>
    <w:rsid w:val="49BC5F7D"/>
    <w:rsid w:val="4CDD0EFB"/>
    <w:rsid w:val="514D6BA6"/>
    <w:rsid w:val="54DF64EF"/>
    <w:rsid w:val="587B50B5"/>
    <w:rsid w:val="5AAE6852"/>
    <w:rsid w:val="5F7F8806"/>
    <w:rsid w:val="5FAE2DE4"/>
    <w:rsid w:val="5FB5B35A"/>
    <w:rsid w:val="5FEB6F47"/>
    <w:rsid w:val="62B41646"/>
    <w:rsid w:val="63D85F8A"/>
    <w:rsid w:val="66F6A97F"/>
    <w:rsid w:val="677F6C4E"/>
    <w:rsid w:val="6BDF8198"/>
    <w:rsid w:val="6DF77EE1"/>
    <w:rsid w:val="6F7FE199"/>
    <w:rsid w:val="6FC5859D"/>
    <w:rsid w:val="6FC7BDA3"/>
    <w:rsid w:val="6FDF23CA"/>
    <w:rsid w:val="6FFEB676"/>
    <w:rsid w:val="720F1071"/>
    <w:rsid w:val="76DF160A"/>
    <w:rsid w:val="76DF9039"/>
    <w:rsid w:val="775F6E7B"/>
    <w:rsid w:val="79F7F925"/>
    <w:rsid w:val="7A2FBEB8"/>
    <w:rsid w:val="7A3A8BB8"/>
    <w:rsid w:val="7BD51013"/>
    <w:rsid w:val="7BFE413B"/>
    <w:rsid w:val="7CFB4046"/>
    <w:rsid w:val="7DB7C5E8"/>
    <w:rsid w:val="7DFE49D6"/>
    <w:rsid w:val="7E3F258B"/>
    <w:rsid w:val="7EAFA901"/>
    <w:rsid w:val="7EC7C1A7"/>
    <w:rsid w:val="7EDE4CE5"/>
    <w:rsid w:val="7EFF39BE"/>
    <w:rsid w:val="7F275A08"/>
    <w:rsid w:val="7F4FA2CD"/>
    <w:rsid w:val="7F5B2E6C"/>
    <w:rsid w:val="7F6D79B2"/>
    <w:rsid w:val="7F74EE4D"/>
    <w:rsid w:val="7F836328"/>
    <w:rsid w:val="7FAEA1FC"/>
    <w:rsid w:val="7FDF86F2"/>
    <w:rsid w:val="7FDF9FE2"/>
    <w:rsid w:val="7FEDBDB0"/>
    <w:rsid w:val="7FFD20E2"/>
    <w:rsid w:val="7FFF90D8"/>
    <w:rsid w:val="8DFECCA5"/>
    <w:rsid w:val="97FEA3CE"/>
    <w:rsid w:val="9FCE48EA"/>
    <w:rsid w:val="9FEFE808"/>
    <w:rsid w:val="B176DF2B"/>
    <w:rsid w:val="B5A1883B"/>
    <w:rsid w:val="B77FA680"/>
    <w:rsid w:val="BABDFBC1"/>
    <w:rsid w:val="BCDD2649"/>
    <w:rsid w:val="BDCF2A42"/>
    <w:rsid w:val="BDFB0821"/>
    <w:rsid w:val="BDFFE1F1"/>
    <w:rsid w:val="BEB796A6"/>
    <w:rsid w:val="BEBBABF7"/>
    <w:rsid w:val="BF3F2B34"/>
    <w:rsid w:val="C749FC02"/>
    <w:rsid w:val="C77EAF32"/>
    <w:rsid w:val="C9FF018B"/>
    <w:rsid w:val="CF5BE863"/>
    <w:rsid w:val="D3AD3EFF"/>
    <w:rsid w:val="D57AEBA6"/>
    <w:rsid w:val="DBBDC31C"/>
    <w:rsid w:val="DE7BDAD1"/>
    <w:rsid w:val="DF120905"/>
    <w:rsid w:val="DFFECA42"/>
    <w:rsid w:val="E4FE1BE5"/>
    <w:rsid w:val="E75A4F81"/>
    <w:rsid w:val="EE6EC1D2"/>
    <w:rsid w:val="EE7F65BA"/>
    <w:rsid w:val="EFFD8664"/>
    <w:rsid w:val="F19EBA5D"/>
    <w:rsid w:val="F1FAC4EB"/>
    <w:rsid w:val="F6BD929E"/>
    <w:rsid w:val="F7BF8780"/>
    <w:rsid w:val="F7F12F7C"/>
    <w:rsid w:val="FBF1BFF4"/>
    <w:rsid w:val="FBF7F11D"/>
    <w:rsid w:val="FBFFEC2F"/>
    <w:rsid w:val="FD7FEDAB"/>
    <w:rsid w:val="FEEFCC52"/>
    <w:rsid w:val="FEFBEBD4"/>
    <w:rsid w:val="FEFFE81B"/>
    <w:rsid w:val="FEFFF56D"/>
    <w:rsid w:val="FFBD4214"/>
    <w:rsid w:val="FFCF810D"/>
    <w:rsid w:val="FFDDCA5C"/>
    <w:rsid w:val="FFE67FF8"/>
    <w:rsid w:val="FFF8AFE9"/>
    <w:rsid w:val="FFFD277C"/>
    <w:rsid w:val="FFFD3628"/>
    <w:rsid w:val="FFFFE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31"/>
    <w:qFormat/>
    <w:uiPriority w:val="9"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widowControl/>
      <w:spacing w:line="357" w:lineRule="atLeast"/>
      <w:ind w:firstLine="420" w:firstLineChars="200"/>
      <w:textAlignment w:val="baseline"/>
    </w:pPr>
    <w:rPr>
      <w:rFonts w:ascii="Calibri" w:hAnsi="Calibri" w:cs="宋体"/>
      <w:color w:val="000000"/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20"/>
    </w:rPr>
  </w:style>
  <w:style w:type="paragraph" w:styleId="6">
    <w:name w:val="annotation text"/>
    <w:basedOn w:val="1"/>
    <w:link w:val="33"/>
    <w:semiHidden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宋体" w:cs="Times New Roman"/>
      <w:kern w:val="0"/>
      <w:szCs w:val="20"/>
    </w:rPr>
  </w:style>
  <w:style w:type="paragraph" w:styleId="7">
    <w:name w:val="Body Text"/>
    <w:basedOn w:val="1"/>
    <w:next w:val="1"/>
    <w:semiHidden/>
    <w:unhideWhenUsed/>
    <w:qFormat/>
    <w:uiPriority w:val="99"/>
    <w:pPr>
      <w:spacing w:beforeLines="30"/>
    </w:pPr>
    <w:rPr>
      <w:rFonts w:ascii="仿宋_GB2312" w:hAnsi="Times New Roman" w:eastAsia="仿宋_GB2312" w:cs="Times New Roman"/>
      <w:sz w:val="30"/>
      <w:szCs w:val="32"/>
    </w:rPr>
  </w:style>
  <w:style w:type="paragraph" w:styleId="8">
    <w:name w:val="Plain Text"/>
    <w:basedOn w:val="1"/>
    <w:qFormat/>
    <w:uiPriority w:val="0"/>
    <w:pPr>
      <w:widowControl w:val="0"/>
      <w:textAlignment w:val="auto"/>
    </w:pPr>
    <w:rPr>
      <w:rFonts w:ascii="宋体" w:hAnsi="Courier New" w:eastAsia="宋体"/>
      <w:sz w:val="21"/>
    </w:rPr>
  </w:style>
  <w:style w:type="paragraph" w:styleId="9">
    <w:name w:val="Date"/>
    <w:basedOn w:val="1"/>
    <w:next w:val="1"/>
    <w:link w:val="28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0">
    <w:name w:val="Body Text Indent 2"/>
    <w:basedOn w:val="1"/>
    <w:next w:val="1"/>
    <w:qFormat/>
    <w:uiPriority w:val="99"/>
    <w:pPr>
      <w:spacing w:before="100" w:line="500" w:lineRule="exact"/>
      <w:ind w:firstLine="723" w:firstLineChars="200"/>
    </w:pPr>
    <w:rPr>
      <w:rFonts w:ascii="楷体_GB2312"/>
      <w:b/>
      <w:bCs/>
      <w:sz w:val="36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hAnsi="华文仿宋" w:eastAsia="华文仿宋" w:cs="Times New Roman"/>
      <w:b/>
      <w:kern w:val="0"/>
      <w:szCs w:val="32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ascii="Calibri" w:hAnsi="Calibri"/>
      <w:b/>
      <w:sz w:val="18"/>
      <w:szCs w:val="22"/>
    </w:rPr>
  </w:style>
  <w:style w:type="paragraph" w:styleId="15">
    <w:name w:val="toc 2"/>
    <w:basedOn w:val="1"/>
    <w:next w:val="1"/>
    <w:unhideWhenUsed/>
    <w:qFormat/>
    <w:uiPriority w:val="39"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="420" w:leftChars="200"/>
      <w:jc w:val="left"/>
    </w:pPr>
    <w:rPr>
      <w:rFonts w:ascii="Tahoma" w:hAnsi="Tahoma" w:eastAsia="宋体" w:cs="Times New Roman"/>
      <w:kern w:val="0"/>
      <w:szCs w:val="22"/>
    </w:rPr>
  </w:style>
  <w:style w:type="paragraph" w:styleId="16">
    <w:name w:val="Normal (Web)"/>
    <w:basedOn w:val="1"/>
    <w:qFormat/>
    <w:uiPriority w:val="99"/>
    <w:rPr>
      <w:sz w:val="24"/>
    </w:rPr>
  </w:style>
  <w:style w:type="paragraph" w:styleId="17">
    <w:name w:val="Body Text First Indent"/>
    <w:basedOn w:val="7"/>
    <w:qFormat/>
    <w:uiPriority w:val="0"/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0"/>
    <w:rPr>
      <w:color w:val="122E67"/>
      <w:sz w:val="9"/>
      <w:szCs w:val="9"/>
      <w:u w:val="none"/>
    </w:rPr>
  </w:style>
  <w:style w:type="character" w:styleId="24">
    <w:name w:val="Emphasis"/>
    <w:basedOn w:val="20"/>
    <w:qFormat/>
    <w:uiPriority w:val="0"/>
  </w:style>
  <w:style w:type="character" w:styleId="25">
    <w:name w:val="Hyperlink"/>
    <w:basedOn w:val="20"/>
    <w:qFormat/>
    <w:uiPriority w:val="0"/>
    <w:rPr>
      <w:color w:val="122E67"/>
      <w:sz w:val="9"/>
      <w:szCs w:val="9"/>
      <w:u w:val="none"/>
    </w:rPr>
  </w:style>
  <w:style w:type="character" w:customStyle="1" w:styleId="26">
    <w:name w:val="页眉 Char"/>
    <w:link w:val="1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7">
    <w:name w:val="页脚 Char"/>
    <w:link w:val="11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8">
    <w:name w:val="日期 Char"/>
    <w:basedOn w:val="20"/>
    <w:link w:val="9"/>
    <w:qFormat/>
    <w:uiPriority w:val="0"/>
    <w:rPr>
      <w:kern w:val="2"/>
      <w:sz w:val="21"/>
      <w:szCs w:val="24"/>
    </w:rPr>
  </w:style>
  <w:style w:type="character" w:customStyle="1" w:styleId="29">
    <w:name w:val="页眉 Char1"/>
    <w:basedOn w:val="2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Char1"/>
    <w:basedOn w:val="2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标题 1 Char"/>
    <w:basedOn w:val="20"/>
    <w:link w:val="4"/>
    <w:qFormat/>
    <w:uiPriority w:val="9"/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character" w:customStyle="1" w:styleId="32">
    <w:name w:val="批注文字 Char"/>
    <w:basedOn w:val="20"/>
    <w:link w:val="6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3">
    <w:name w:val="批注文字 Char1"/>
    <w:basedOn w:val="20"/>
    <w:link w:val="6"/>
    <w:semiHidden/>
    <w:qFormat/>
    <w:locked/>
    <w:uiPriority w:val="99"/>
    <w:rPr>
      <w:rFonts w:ascii="Tahoma" w:hAnsi="Tahoma"/>
      <w:sz w:val="32"/>
    </w:rPr>
  </w:style>
  <w:style w:type="character" w:customStyle="1" w:styleId="34">
    <w:name w:val="标题 2 Char"/>
    <w:basedOn w:val="20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35">
    <w:name w:val="List Paragraph"/>
    <w:basedOn w:val="1"/>
    <w:qFormat/>
    <w:uiPriority w:val="34"/>
    <w:pPr>
      <w:spacing w:line="240" w:lineRule="auto"/>
      <w:ind w:firstLine="420" w:firstLineChars="200"/>
      <w:jc w:val="both"/>
    </w:pPr>
    <w:rPr>
      <w:rFonts w:ascii="Times New Roman" w:hAnsi="Times New Roman" w:eastAsia="宋体" w:cs="Times New Roman"/>
    </w:rPr>
  </w:style>
  <w:style w:type="character" w:customStyle="1" w:styleId="36">
    <w:name w:val="NormalCharacter"/>
    <w:qFormat/>
    <w:uiPriority w:val="99"/>
  </w:style>
  <w:style w:type="character" w:customStyle="1" w:styleId="37">
    <w:name w:val="font61"/>
    <w:basedOn w:val="20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38">
    <w:name w:val="font9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9">
    <w:name w:val="font71"/>
    <w:basedOn w:val="20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40">
    <w:name w:val="font51"/>
    <w:basedOn w:val="2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Bodoni MT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570</Words>
  <Characters>3251</Characters>
  <Lines>27</Lines>
  <Paragraphs>7</Paragraphs>
  <TotalTime>1</TotalTime>
  <ScaleCrop>false</ScaleCrop>
  <LinksUpToDate>false</LinksUpToDate>
  <CharactersWithSpaces>3814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2020-10-14T00:49:00Z</dcterms:created>
  <dc:creator>laure</dc:creator>
  <cp:lastModifiedBy>user</cp:lastModifiedBy>
  <cp:lastPrinted>2022-03-01T07:07:00Z</cp:lastPrinted>
  <dcterms:modified xsi:type="dcterms:W3CDTF">2022-03-16T18:13:17Z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FFFECAB8AC7E4E6D9119D1019C9B521E</vt:lpwstr>
  </property>
</Properties>
</file>