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B5" w:rsidRDefault="00093482">
      <w:pPr>
        <w:spacing w:line="560" w:lineRule="exact"/>
        <w:rPr>
          <w:rFonts w:eastAsia="黑体"/>
          <w:sz w:val="32"/>
          <w:szCs w:val="32"/>
        </w:rPr>
      </w:pPr>
      <w:r>
        <w:rPr>
          <w:rFonts w:eastAsia="黑体"/>
          <w:sz w:val="32"/>
          <w:szCs w:val="32"/>
        </w:rPr>
        <w:t>附</w:t>
      </w:r>
      <w:r>
        <w:rPr>
          <w:rFonts w:eastAsia="黑体"/>
          <w:sz w:val="32"/>
          <w:szCs w:val="32"/>
        </w:rPr>
        <w:t>件</w:t>
      </w:r>
    </w:p>
    <w:p w:rsidR="00B574B5" w:rsidRDefault="00B574B5">
      <w:pPr>
        <w:spacing w:line="560" w:lineRule="exact"/>
        <w:ind w:firstLineChars="200" w:firstLine="883"/>
        <w:jc w:val="center"/>
        <w:rPr>
          <w:b/>
          <w:sz w:val="44"/>
          <w:szCs w:val="44"/>
        </w:rPr>
      </w:pPr>
    </w:p>
    <w:p w:rsidR="00B574B5" w:rsidRPr="00A43D8B" w:rsidRDefault="00093482" w:rsidP="00A43D8B">
      <w:pPr>
        <w:widowControl/>
        <w:adjustRightInd w:val="0"/>
        <w:snapToGrid w:val="0"/>
        <w:spacing w:line="560" w:lineRule="exact"/>
        <w:jc w:val="center"/>
        <w:rPr>
          <w:rFonts w:ascii="方正小标宋_GBK" w:eastAsia="方正小标宋_GBK" w:hAnsi="方正小标宋简体" w:cs="方正小标宋简体" w:hint="eastAsia"/>
          <w:kern w:val="0"/>
          <w:sz w:val="44"/>
          <w:szCs w:val="44"/>
        </w:rPr>
      </w:pPr>
      <w:r>
        <w:rPr>
          <w:rFonts w:ascii="方正小标宋_GBK" w:eastAsia="方正小标宋_GBK" w:hAnsi="方正小标宋简体" w:cs="方正小标宋简体" w:hint="eastAsia"/>
          <w:kern w:val="0"/>
          <w:sz w:val="44"/>
          <w:szCs w:val="44"/>
        </w:rPr>
        <w:t xml:space="preserve">  </w:t>
      </w:r>
      <w:r w:rsidRPr="00A43D8B">
        <w:rPr>
          <w:rFonts w:ascii="方正小标宋_GBK" w:eastAsia="方正小标宋_GBK" w:hAnsi="方正小标宋简体" w:cs="方正小标宋简体" w:hint="eastAsia"/>
          <w:kern w:val="0"/>
          <w:sz w:val="44"/>
          <w:szCs w:val="44"/>
        </w:rPr>
        <w:t>四川省国际科技合作基地评估办法</w:t>
      </w:r>
    </w:p>
    <w:p w:rsidR="00B574B5" w:rsidRPr="00A43D8B" w:rsidRDefault="00093482" w:rsidP="00A43D8B">
      <w:pPr>
        <w:spacing w:line="560" w:lineRule="exact"/>
        <w:jc w:val="center"/>
        <w:rPr>
          <w:rFonts w:ascii="楷体_GB2312" w:eastAsia="楷体_GB2312" w:hint="eastAsia"/>
          <w:bCs/>
          <w:sz w:val="32"/>
          <w:szCs w:val="32"/>
        </w:rPr>
      </w:pPr>
      <w:r>
        <w:rPr>
          <w:rFonts w:ascii="楷体_GB2312" w:eastAsia="楷体_GB2312" w:hint="eastAsia"/>
          <w:bCs/>
          <w:sz w:val="32"/>
          <w:szCs w:val="32"/>
        </w:rPr>
        <w:t xml:space="preserve">   </w:t>
      </w:r>
      <w:r w:rsidRPr="00A43D8B">
        <w:rPr>
          <w:rFonts w:ascii="楷体_GB2312" w:eastAsia="楷体_GB2312" w:hint="eastAsia"/>
          <w:bCs/>
          <w:sz w:val="32"/>
          <w:szCs w:val="32"/>
        </w:rPr>
        <w:t>（</w:t>
      </w:r>
      <w:r w:rsidRPr="00A43D8B">
        <w:rPr>
          <w:rFonts w:ascii="楷体_GB2312" w:eastAsia="楷体_GB2312" w:hint="eastAsia"/>
          <w:bCs/>
          <w:sz w:val="32"/>
          <w:szCs w:val="32"/>
        </w:rPr>
        <w:t>修订征求意见</w:t>
      </w:r>
      <w:r w:rsidRPr="00A43D8B">
        <w:rPr>
          <w:rFonts w:ascii="楷体_GB2312" w:eastAsia="楷体_GB2312" w:hint="eastAsia"/>
          <w:bCs/>
          <w:sz w:val="32"/>
          <w:szCs w:val="32"/>
        </w:rPr>
        <w:t>稿）</w:t>
      </w:r>
    </w:p>
    <w:p w:rsidR="00B574B5" w:rsidRDefault="00B574B5" w:rsidP="0081477C">
      <w:pPr>
        <w:widowControl/>
        <w:adjustRightInd w:val="0"/>
        <w:snapToGrid w:val="0"/>
        <w:spacing w:line="560" w:lineRule="exact"/>
        <w:ind w:firstLineChars="200" w:firstLine="643"/>
        <w:jc w:val="center"/>
        <w:rPr>
          <w:rFonts w:eastAsia="仿宋_GB2312"/>
          <w:b/>
          <w:kern w:val="0"/>
          <w:sz w:val="32"/>
          <w:szCs w:val="32"/>
        </w:rPr>
      </w:pPr>
      <w:bookmarkStart w:id="0" w:name="_GoBack"/>
      <w:bookmarkEnd w:id="0"/>
    </w:p>
    <w:p w:rsidR="0006045B" w:rsidRDefault="00093482" w:rsidP="0006045B">
      <w:pPr>
        <w:widowControl/>
        <w:adjustRightInd w:val="0"/>
        <w:snapToGrid w:val="0"/>
        <w:spacing w:line="560" w:lineRule="exact"/>
        <w:ind w:firstLineChars="200" w:firstLine="643"/>
        <w:jc w:val="center"/>
        <w:rPr>
          <w:rFonts w:eastAsia="仿宋_GB2312"/>
          <w:b/>
          <w:kern w:val="0"/>
          <w:sz w:val="32"/>
          <w:szCs w:val="32"/>
        </w:rPr>
      </w:pPr>
      <w:r>
        <w:rPr>
          <w:rFonts w:eastAsia="仿宋_GB2312"/>
          <w:b/>
          <w:kern w:val="0"/>
          <w:sz w:val="32"/>
          <w:szCs w:val="32"/>
        </w:rPr>
        <w:t>第一章</w:t>
      </w:r>
      <w:r>
        <w:rPr>
          <w:rFonts w:eastAsia="仿宋_GB2312"/>
          <w:b/>
          <w:kern w:val="0"/>
          <w:sz w:val="32"/>
          <w:szCs w:val="32"/>
        </w:rPr>
        <w:t xml:space="preserve">  </w:t>
      </w:r>
      <w:r>
        <w:rPr>
          <w:rFonts w:eastAsia="仿宋_GB2312"/>
          <w:b/>
          <w:kern w:val="0"/>
          <w:sz w:val="32"/>
          <w:szCs w:val="32"/>
        </w:rPr>
        <w:t>总则</w:t>
      </w:r>
    </w:p>
    <w:p w:rsidR="00B574B5" w:rsidRDefault="00093482" w:rsidP="0081477C">
      <w:pPr>
        <w:widowControl/>
        <w:adjustRightInd w:val="0"/>
        <w:snapToGrid w:val="0"/>
        <w:spacing w:line="560" w:lineRule="exact"/>
        <w:ind w:firstLineChars="200" w:firstLine="643"/>
        <w:rPr>
          <w:rFonts w:eastAsia="仿宋_GB2312"/>
          <w:kern w:val="0"/>
          <w:sz w:val="32"/>
          <w:szCs w:val="32"/>
        </w:rPr>
      </w:pPr>
      <w:r>
        <w:rPr>
          <w:rFonts w:eastAsia="仿宋_GB2312"/>
          <w:b/>
          <w:kern w:val="0"/>
          <w:sz w:val="32"/>
          <w:szCs w:val="32"/>
        </w:rPr>
        <w:t>第一条</w:t>
      </w:r>
      <w:r>
        <w:rPr>
          <w:rFonts w:eastAsia="仿宋_GB2312"/>
          <w:kern w:val="0"/>
          <w:sz w:val="32"/>
          <w:szCs w:val="32"/>
        </w:rPr>
        <w:tab/>
      </w:r>
      <w:r>
        <w:rPr>
          <w:rFonts w:eastAsia="仿宋_GB2312"/>
          <w:kern w:val="0"/>
          <w:sz w:val="32"/>
          <w:szCs w:val="32"/>
        </w:rPr>
        <w:tab/>
      </w:r>
      <w:r>
        <w:rPr>
          <w:rFonts w:eastAsia="仿宋_GB2312"/>
          <w:kern w:val="0"/>
          <w:sz w:val="32"/>
          <w:szCs w:val="32"/>
        </w:rPr>
        <w:t>为加强对四川省国际科技合作基地（以下简称国合基地）的统筹管理，规范国合基地评估工作，充分发挥</w:t>
      </w:r>
      <w:r>
        <w:rPr>
          <w:rFonts w:eastAsia="仿宋_GB2312" w:hint="eastAsia"/>
          <w:kern w:val="0"/>
          <w:sz w:val="32"/>
          <w:szCs w:val="32"/>
        </w:rPr>
        <w:t>国合</w:t>
      </w:r>
      <w:r>
        <w:rPr>
          <w:rFonts w:eastAsia="仿宋_GB2312"/>
          <w:kern w:val="0"/>
          <w:sz w:val="32"/>
          <w:szCs w:val="32"/>
        </w:rPr>
        <w:t>基地的引领示范作用，根据《国家国际科技合作基地评估办法（试行）》</w:t>
      </w:r>
      <w:r>
        <w:rPr>
          <w:rFonts w:eastAsia="仿宋_GB2312"/>
          <w:kern w:val="0"/>
          <w:sz w:val="32"/>
          <w:szCs w:val="32"/>
        </w:rPr>
        <w:t>(</w:t>
      </w:r>
      <w:r>
        <w:rPr>
          <w:rFonts w:eastAsia="仿宋_GB2312"/>
          <w:kern w:val="0"/>
          <w:sz w:val="32"/>
          <w:szCs w:val="32"/>
        </w:rPr>
        <w:t>国科发外〔</w:t>
      </w:r>
      <w:r>
        <w:rPr>
          <w:rFonts w:eastAsia="仿宋_GB2312"/>
          <w:kern w:val="0"/>
          <w:sz w:val="32"/>
          <w:szCs w:val="32"/>
        </w:rPr>
        <w:t>2014</w:t>
      </w:r>
      <w:r>
        <w:rPr>
          <w:rFonts w:eastAsia="仿宋_GB2312"/>
          <w:kern w:val="0"/>
          <w:sz w:val="32"/>
          <w:szCs w:val="32"/>
        </w:rPr>
        <w:t>〕</w:t>
      </w:r>
      <w:r>
        <w:rPr>
          <w:rFonts w:eastAsia="仿宋_GB2312"/>
          <w:kern w:val="0"/>
          <w:sz w:val="32"/>
          <w:szCs w:val="32"/>
        </w:rPr>
        <w:t>77</w:t>
      </w:r>
      <w:r>
        <w:rPr>
          <w:rFonts w:eastAsia="仿宋_GB2312"/>
          <w:kern w:val="0"/>
          <w:sz w:val="32"/>
          <w:szCs w:val="32"/>
        </w:rPr>
        <w:t>号</w:t>
      </w:r>
      <w:r>
        <w:rPr>
          <w:rFonts w:eastAsia="仿宋_GB2312"/>
          <w:kern w:val="0"/>
          <w:sz w:val="32"/>
          <w:szCs w:val="32"/>
        </w:rPr>
        <w:t>)</w:t>
      </w:r>
      <w:r>
        <w:rPr>
          <w:rFonts w:eastAsia="仿宋_GB2312"/>
          <w:kern w:val="0"/>
          <w:sz w:val="32"/>
          <w:szCs w:val="32"/>
        </w:rPr>
        <w:t>和《四川省国际科技合作基地管理办法》（川科外〔</w:t>
      </w:r>
      <w:r>
        <w:rPr>
          <w:rFonts w:eastAsia="仿宋_GB2312"/>
          <w:kern w:val="0"/>
          <w:sz w:val="32"/>
          <w:szCs w:val="32"/>
        </w:rPr>
        <w:t>2017</w:t>
      </w:r>
      <w:r>
        <w:rPr>
          <w:rFonts w:eastAsia="仿宋_GB2312"/>
          <w:kern w:val="0"/>
          <w:sz w:val="32"/>
          <w:szCs w:val="32"/>
        </w:rPr>
        <w:t>〕</w:t>
      </w:r>
      <w:r>
        <w:rPr>
          <w:rFonts w:eastAsia="仿宋_GB2312"/>
          <w:kern w:val="0"/>
          <w:sz w:val="32"/>
          <w:szCs w:val="32"/>
        </w:rPr>
        <w:t>3</w:t>
      </w:r>
      <w:r>
        <w:rPr>
          <w:rFonts w:eastAsia="仿宋_GB2312"/>
          <w:kern w:val="0"/>
          <w:sz w:val="32"/>
          <w:szCs w:val="32"/>
        </w:rPr>
        <w:t>号），特制定本办法。</w:t>
      </w:r>
    </w:p>
    <w:p w:rsidR="00B574B5" w:rsidRDefault="00093482" w:rsidP="0081477C">
      <w:pPr>
        <w:widowControl/>
        <w:adjustRightInd w:val="0"/>
        <w:snapToGrid w:val="0"/>
        <w:spacing w:line="560" w:lineRule="exact"/>
        <w:ind w:firstLineChars="200" w:firstLine="643"/>
        <w:rPr>
          <w:rFonts w:eastAsia="仿宋_GB2312"/>
          <w:kern w:val="0"/>
          <w:sz w:val="32"/>
          <w:szCs w:val="32"/>
        </w:rPr>
      </w:pPr>
      <w:r>
        <w:rPr>
          <w:rFonts w:eastAsia="仿宋_GB2312"/>
          <w:b/>
          <w:kern w:val="0"/>
          <w:sz w:val="32"/>
          <w:szCs w:val="32"/>
        </w:rPr>
        <w:t>第二条</w:t>
      </w:r>
      <w:r>
        <w:rPr>
          <w:rFonts w:eastAsia="仿宋_GB2312"/>
          <w:b/>
          <w:kern w:val="0"/>
          <w:sz w:val="32"/>
          <w:szCs w:val="32"/>
        </w:rPr>
        <w:tab/>
      </w:r>
      <w:r>
        <w:rPr>
          <w:rFonts w:eastAsia="仿宋_GB2312"/>
          <w:kern w:val="0"/>
          <w:sz w:val="32"/>
          <w:szCs w:val="32"/>
        </w:rPr>
        <w:tab/>
      </w:r>
      <w:r>
        <w:rPr>
          <w:rFonts w:eastAsia="仿宋_GB2312"/>
          <w:sz w:val="32"/>
          <w:szCs w:val="32"/>
        </w:rPr>
        <w:t>开展评估工作是国</w:t>
      </w:r>
      <w:proofErr w:type="gramStart"/>
      <w:r>
        <w:rPr>
          <w:rFonts w:eastAsia="仿宋_GB2312"/>
          <w:sz w:val="32"/>
          <w:szCs w:val="32"/>
        </w:rPr>
        <w:t>合基地</w:t>
      </w:r>
      <w:proofErr w:type="gramEnd"/>
      <w:r>
        <w:rPr>
          <w:rFonts w:eastAsia="仿宋_GB2312"/>
          <w:sz w:val="32"/>
          <w:szCs w:val="32"/>
        </w:rPr>
        <w:t>管理的重要环节，主要目的是</w:t>
      </w:r>
      <w:proofErr w:type="gramStart"/>
      <w:r>
        <w:rPr>
          <w:rFonts w:eastAsia="仿宋_GB2312"/>
          <w:sz w:val="32"/>
          <w:szCs w:val="32"/>
        </w:rPr>
        <w:t>检查国合基地</w:t>
      </w:r>
      <w:proofErr w:type="gramEnd"/>
      <w:r>
        <w:rPr>
          <w:rFonts w:eastAsia="仿宋_GB2312"/>
          <w:sz w:val="32"/>
          <w:szCs w:val="32"/>
        </w:rPr>
        <w:t>的整体运行状况、研发创新能力、人才队伍建设、国际合作与交流能力和技术成果产业化能力，</w:t>
      </w:r>
      <w:proofErr w:type="gramStart"/>
      <w:r>
        <w:rPr>
          <w:rFonts w:eastAsia="仿宋_GB2312"/>
          <w:sz w:val="32"/>
          <w:szCs w:val="32"/>
        </w:rPr>
        <w:t>引导国合基地</w:t>
      </w:r>
      <w:proofErr w:type="gramEnd"/>
      <w:r>
        <w:rPr>
          <w:rFonts w:eastAsia="仿宋_GB2312"/>
          <w:sz w:val="32"/>
          <w:szCs w:val="32"/>
        </w:rPr>
        <w:t>的定位和发展方向，促进国</w:t>
      </w:r>
      <w:proofErr w:type="gramStart"/>
      <w:r>
        <w:rPr>
          <w:rFonts w:eastAsia="仿宋_GB2312"/>
          <w:sz w:val="32"/>
          <w:szCs w:val="32"/>
        </w:rPr>
        <w:t>合基地</w:t>
      </w:r>
      <w:proofErr w:type="gramEnd"/>
      <w:r>
        <w:rPr>
          <w:rFonts w:eastAsia="仿宋_GB2312"/>
          <w:sz w:val="32"/>
          <w:szCs w:val="32"/>
        </w:rPr>
        <w:t>建设与发展，并为省相关管理部门的决策和服务提供依据。</w:t>
      </w:r>
    </w:p>
    <w:p w:rsidR="00B574B5" w:rsidRDefault="00093482" w:rsidP="0081477C">
      <w:pPr>
        <w:widowControl/>
        <w:adjustRightInd w:val="0"/>
        <w:snapToGrid w:val="0"/>
        <w:spacing w:line="560" w:lineRule="exact"/>
        <w:ind w:firstLineChars="200" w:firstLine="643"/>
        <w:rPr>
          <w:rFonts w:eastAsia="仿宋_GB2312" w:hint="eastAsia"/>
          <w:sz w:val="32"/>
          <w:szCs w:val="32"/>
        </w:rPr>
      </w:pPr>
      <w:r>
        <w:rPr>
          <w:rFonts w:eastAsia="仿宋_GB2312"/>
          <w:b/>
          <w:kern w:val="0"/>
          <w:sz w:val="32"/>
          <w:szCs w:val="32"/>
        </w:rPr>
        <w:t>第三条</w:t>
      </w:r>
      <w:r>
        <w:rPr>
          <w:rFonts w:eastAsia="仿宋_GB2312"/>
          <w:kern w:val="0"/>
          <w:sz w:val="32"/>
          <w:szCs w:val="32"/>
        </w:rPr>
        <w:tab/>
        <w:t xml:space="preserve"> </w:t>
      </w:r>
      <w:r>
        <w:rPr>
          <w:rFonts w:eastAsia="仿宋_GB2312"/>
          <w:kern w:val="0"/>
          <w:sz w:val="32"/>
          <w:szCs w:val="32"/>
        </w:rPr>
        <w:t>四川省科学技术厅（以下简称</w:t>
      </w:r>
      <w:r>
        <w:rPr>
          <w:rFonts w:eastAsia="仿宋_GB2312"/>
          <w:kern w:val="0"/>
          <w:sz w:val="32"/>
          <w:szCs w:val="32"/>
        </w:rPr>
        <w:t>“</w:t>
      </w:r>
      <w:r>
        <w:rPr>
          <w:rFonts w:eastAsia="仿宋_GB2312"/>
          <w:kern w:val="0"/>
          <w:sz w:val="32"/>
          <w:szCs w:val="32"/>
        </w:rPr>
        <w:t>科技</w:t>
      </w:r>
      <w:r>
        <w:rPr>
          <w:rFonts w:eastAsia="仿宋_GB2312"/>
          <w:sz w:val="32"/>
          <w:szCs w:val="32"/>
        </w:rPr>
        <w:t>厅</w:t>
      </w:r>
      <w:r>
        <w:rPr>
          <w:rFonts w:eastAsia="仿宋_GB2312"/>
          <w:kern w:val="0"/>
          <w:sz w:val="32"/>
          <w:szCs w:val="32"/>
        </w:rPr>
        <w:t>”</w:t>
      </w:r>
      <w:r>
        <w:rPr>
          <w:rFonts w:eastAsia="仿宋_GB2312"/>
          <w:kern w:val="0"/>
          <w:sz w:val="32"/>
          <w:szCs w:val="32"/>
        </w:rPr>
        <w:t>）</w:t>
      </w:r>
      <w:r>
        <w:rPr>
          <w:rFonts w:eastAsia="仿宋_GB2312"/>
          <w:sz w:val="32"/>
          <w:szCs w:val="32"/>
        </w:rPr>
        <w:t>对已认定的省级国合基地进行定期评估。</w:t>
      </w:r>
      <w:r>
        <w:rPr>
          <w:rFonts w:eastAsia="仿宋_GB2312"/>
          <w:sz w:val="32"/>
          <w:szCs w:val="32"/>
        </w:rPr>
        <w:t>原则</w:t>
      </w:r>
      <w:r>
        <w:rPr>
          <w:rFonts w:eastAsia="仿宋_GB2312"/>
          <w:sz w:val="32"/>
          <w:szCs w:val="32"/>
        </w:rPr>
        <w:t>上每</w:t>
      </w:r>
      <w:r>
        <w:rPr>
          <w:rFonts w:eastAsia="仿宋_GB2312"/>
          <w:sz w:val="32"/>
          <w:szCs w:val="32"/>
        </w:rPr>
        <w:t>3</w:t>
      </w:r>
      <w:r>
        <w:rPr>
          <w:rFonts w:eastAsia="仿宋_GB2312"/>
          <w:sz w:val="32"/>
          <w:szCs w:val="32"/>
        </w:rPr>
        <w:t>年为一个评估周期，国合基地认定</w:t>
      </w:r>
      <w:r>
        <w:rPr>
          <w:rFonts w:eastAsia="仿宋_GB2312"/>
          <w:sz w:val="32"/>
          <w:szCs w:val="32"/>
        </w:rPr>
        <w:t>3</w:t>
      </w:r>
      <w:r>
        <w:rPr>
          <w:rFonts w:eastAsia="仿宋_GB2312"/>
          <w:sz w:val="32"/>
          <w:szCs w:val="32"/>
        </w:rPr>
        <w:t>年后开始第一次评估。</w:t>
      </w:r>
    </w:p>
    <w:p w:rsidR="0006045B" w:rsidRDefault="0006045B" w:rsidP="0006045B">
      <w:pPr>
        <w:widowControl/>
        <w:adjustRightInd w:val="0"/>
        <w:snapToGrid w:val="0"/>
        <w:spacing w:line="560" w:lineRule="exact"/>
        <w:ind w:firstLineChars="200" w:firstLine="640"/>
        <w:rPr>
          <w:rFonts w:eastAsia="仿宋_GB2312"/>
          <w:kern w:val="0"/>
          <w:sz w:val="32"/>
          <w:szCs w:val="32"/>
        </w:rPr>
      </w:pPr>
    </w:p>
    <w:p w:rsidR="00B574B5" w:rsidRDefault="00093482" w:rsidP="0081477C">
      <w:pPr>
        <w:pStyle w:val="a6"/>
        <w:adjustRightInd w:val="0"/>
        <w:snapToGrid w:val="0"/>
        <w:spacing w:before="0" w:beforeAutospacing="0" w:after="0" w:afterAutospacing="0" w:line="560" w:lineRule="exact"/>
        <w:ind w:firstLineChars="200" w:firstLine="643"/>
        <w:jc w:val="center"/>
        <w:rPr>
          <w:rStyle w:val="a8"/>
          <w:rFonts w:ascii="Times New Roman" w:eastAsia="仿宋_GB2312" w:hAnsi="Times New Roman" w:cs="Times New Roman"/>
          <w:sz w:val="32"/>
          <w:szCs w:val="32"/>
        </w:rPr>
      </w:pPr>
      <w:r>
        <w:rPr>
          <w:rStyle w:val="a8"/>
          <w:rFonts w:ascii="Times New Roman" w:eastAsia="仿宋_GB2312" w:hAnsi="Times New Roman" w:cs="Times New Roman"/>
          <w:sz w:val="32"/>
          <w:szCs w:val="32"/>
        </w:rPr>
        <w:t>第二章</w:t>
      </w:r>
      <w:r>
        <w:rPr>
          <w:rStyle w:val="a8"/>
          <w:rFonts w:ascii="Times New Roman" w:eastAsia="仿宋_GB2312" w:hAnsi="Times New Roman" w:cs="Times New Roman"/>
          <w:sz w:val="32"/>
          <w:szCs w:val="32"/>
        </w:rPr>
        <w:t xml:space="preserve"> </w:t>
      </w:r>
      <w:r>
        <w:rPr>
          <w:rStyle w:val="a8"/>
          <w:rFonts w:ascii="Times New Roman" w:eastAsia="仿宋_GB2312" w:hAnsi="Times New Roman" w:cs="Times New Roman"/>
          <w:sz w:val="32"/>
          <w:szCs w:val="32"/>
        </w:rPr>
        <w:t>评估机构组成及职责</w:t>
      </w:r>
    </w:p>
    <w:p w:rsidR="00B574B5" w:rsidRDefault="00093482" w:rsidP="0081477C">
      <w:pPr>
        <w:widowControl/>
        <w:adjustRightInd w:val="0"/>
        <w:snapToGrid w:val="0"/>
        <w:spacing w:line="560" w:lineRule="exact"/>
        <w:ind w:firstLineChars="200" w:firstLine="643"/>
        <w:rPr>
          <w:rFonts w:eastAsia="仿宋_GB2312"/>
          <w:sz w:val="32"/>
          <w:szCs w:val="32"/>
        </w:rPr>
      </w:pPr>
      <w:r>
        <w:rPr>
          <w:rFonts w:eastAsia="仿宋_GB2312"/>
          <w:b/>
          <w:sz w:val="32"/>
          <w:szCs w:val="32"/>
        </w:rPr>
        <w:t>第四条</w:t>
      </w:r>
      <w:r>
        <w:rPr>
          <w:rFonts w:eastAsia="仿宋_GB2312"/>
          <w:sz w:val="32"/>
          <w:szCs w:val="32"/>
        </w:rPr>
        <w:t xml:space="preserve"> </w:t>
      </w:r>
      <w:r>
        <w:rPr>
          <w:rFonts w:eastAsia="仿宋_GB2312"/>
          <w:sz w:val="32"/>
          <w:szCs w:val="32"/>
        </w:rPr>
        <w:t>评估工作由科技厅</w:t>
      </w:r>
      <w:r>
        <w:rPr>
          <w:rFonts w:eastAsia="仿宋_GB2312" w:hint="eastAsia"/>
          <w:sz w:val="32"/>
          <w:szCs w:val="32"/>
        </w:rPr>
        <w:t>负责组织</w:t>
      </w:r>
      <w:r>
        <w:rPr>
          <w:rFonts w:eastAsia="仿宋_GB2312"/>
          <w:sz w:val="32"/>
          <w:szCs w:val="32"/>
        </w:rPr>
        <w:t>，与省国</w:t>
      </w:r>
      <w:proofErr w:type="gramStart"/>
      <w:r>
        <w:rPr>
          <w:rFonts w:eastAsia="仿宋_GB2312"/>
          <w:sz w:val="32"/>
          <w:szCs w:val="32"/>
        </w:rPr>
        <w:t>合基地</w:t>
      </w:r>
      <w:proofErr w:type="gramEnd"/>
      <w:r>
        <w:rPr>
          <w:rFonts w:eastAsia="仿宋_GB2312"/>
          <w:sz w:val="32"/>
          <w:szCs w:val="32"/>
        </w:rPr>
        <w:t>组织推荐部门、</w:t>
      </w:r>
      <w:r>
        <w:rPr>
          <w:rFonts w:eastAsia="仿宋_GB2312" w:hint="eastAsia"/>
          <w:sz w:val="32"/>
          <w:szCs w:val="32"/>
        </w:rPr>
        <w:t>评估专家组</w:t>
      </w:r>
      <w:r>
        <w:rPr>
          <w:rFonts w:eastAsia="仿宋_GB2312"/>
          <w:sz w:val="32"/>
          <w:szCs w:val="32"/>
        </w:rPr>
        <w:t>共同实施。</w:t>
      </w:r>
    </w:p>
    <w:p w:rsidR="00B574B5" w:rsidRDefault="00093482">
      <w:pPr>
        <w:pStyle w:val="a6"/>
        <w:shd w:val="clear" w:color="auto" w:fill="FFFFFF"/>
        <w:adjustRightInd w:val="0"/>
        <w:snapToGrid w:val="0"/>
        <w:spacing w:before="0" w:beforeAutospacing="0" w:after="0" w:afterAutospacing="0"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科技厅的职责是：</w:t>
      </w:r>
      <w:r>
        <w:rPr>
          <w:rFonts w:ascii="Times New Roman" w:eastAsia="仿宋_GB2312" w:hAnsi="Times New Roman" w:cs="Times New Roman"/>
          <w:kern w:val="2"/>
          <w:sz w:val="32"/>
          <w:szCs w:val="32"/>
        </w:rPr>
        <w:t>根据评估办法</w:t>
      </w:r>
      <w:r>
        <w:rPr>
          <w:rFonts w:ascii="Times New Roman" w:eastAsia="仿宋_GB2312" w:hAnsi="Times New Roman" w:cs="Times New Roman"/>
          <w:kern w:val="2"/>
          <w:sz w:val="32"/>
          <w:szCs w:val="32"/>
        </w:rPr>
        <w:t>确定年度评估工作计划</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明确评估工作方案，发出评估工作通知</w:t>
      </w:r>
      <w:r>
        <w:rPr>
          <w:rFonts w:ascii="Times New Roman" w:eastAsia="仿宋_GB2312" w:hAnsi="Times New Roman" w:cs="Times New Roman" w:hint="eastAsia"/>
          <w:kern w:val="2"/>
          <w:sz w:val="32"/>
          <w:szCs w:val="32"/>
        </w:rPr>
        <w:t>，</w:t>
      </w:r>
      <w:r>
        <w:rPr>
          <w:rFonts w:ascii="仿宋_GB2312" w:eastAsia="仿宋_GB2312" w:hAnsi="Times New Roman" w:cs="Times New Roman" w:hint="eastAsia"/>
          <w:kern w:val="2"/>
          <w:sz w:val="32"/>
          <w:szCs w:val="32"/>
        </w:rPr>
        <w:t>组织专家进行评估，形成评估报告。</w:t>
      </w:r>
    </w:p>
    <w:p w:rsidR="00B574B5" w:rsidRDefault="00093482">
      <w:pPr>
        <w:pStyle w:val="a6"/>
        <w:shd w:val="clear" w:color="auto" w:fill="FFFFFF"/>
        <w:adjustRightInd w:val="0"/>
        <w:snapToGrid w:val="0"/>
        <w:spacing w:before="0" w:beforeAutospacing="0" w:after="0" w:afterAutospacing="0"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组织推荐部门</w:t>
      </w:r>
      <w:r>
        <w:rPr>
          <w:rFonts w:ascii="Times New Roman" w:eastAsia="仿宋_GB2312" w:hAnsi="Times New Roman" w:cs="Times New Roman" w:hint="eastAsia"/>
          <w:kern w:val="2"/>
          <w:sz w:val="32"/>
          <w:szCs w:val="32"/>
        </w:rPr>
        <w:t>的</w:t>
      </w:r>
      <w:r>
        <w:rPr>
          <w:rFonts w:ascii="Times New Roman" w:eastAsia="仿宋_GB2312" w:hAnsi="Times New Roman" w:cs="Times New Roman"/>
          <w:kern w:val="2"/>
          <w:sz w:val="32"/>
          <w:szCs w:val="32"/>
        </w:rPr>
        <w:t>职责是：组织省国</w:t>
      </w:r>
      <w:proofErr w:type="gramStart"/>
      <w:r>
        <w:rPr>
          <w:rFonts w:ascii="Times New Roman" w:eastAsia="仿宋_GB2312" w:hAnsi="Times New Roman" w:cs="Times New Roman"/>
          <w:kern w:val="2"/>
          <w:sz w:val="32"/>
          <w:szCs w:val="32"/>
        </w:rPr>
        <w:t>合基地</w:t>
      </w:r>
      <w:proofErr w:type="gramEnd"/>
      <w:r>
        <w:rPr>
          <w:rFonts w:ascii="Times New Roman" w:eastAsia="仿宋_GB2312" w:hAnsi="Times New Roman" w:cs="Times New Roman"/>
          <w:kern w:val="2"/>
          <w:sz w:val="32"/>
          <w:szCs w:val="32"/>
        </w:rPr>
        <w:t>依托单位做好接受评估的各项准备工作，审核和汇总评估申请材料。</w:t>
      </w:r>
    </w:p>
    <w:p w:rsidR="00B574B5" w:rsidRDefault="00093482">
      <w:pPr>
        <w:pStyle w:val="a6"/>
        <w:shd w:val="clear" w:color="auto" w:fill="FFFFFF"/>
        <w:adjustRightInd w:val="0"/>
        <w:snapToGrid w:val="0"/>
        <w:spacing w:before="0" w:beforeAutospacing="0" w:after="0" w:afterAutospacing="0" w:line="560" w:lineRule="exact"/>
        <w:ind w:firstLineChars="200" w:firstLine="640"/>
        <w:rPr>
          <w:rFonts w:ascii="Times New Roman" w:eastAsia="仿宋_GB2312" w:hAnsi="Times New Roman" w:cs="Times New Roman"/>
          <w:strike/>
          <w:kern w:val="2"/>
          <w:sz w:val="32"/>
          <w:szCs w:val="32"/>
          <w:highlight w:val="yellow"/>
        </w:rPr>
      </w:pPr>
      <w:r>
        <w:rPr>
          <w:rFonts w:ascii="Times New Roman" w:eastAsia="仿宋_GB2312" w:hAnsi="Times New Roman" w:cs="Times New Roman"/>
          <w:kern w:val="2"/>
          <w:sz w:val="32"/>
          <w:szCs w:val="32"/>
        </w:rPr>
        <w:t>评估</w:t>
      </w:r>
      <w:r>
        <w:rPr>
          <w:rFonts w:ascii="Times New Roman" w:eastAsia="仿宋_GB2312" w:hAnsi="Times New Roman" w:cs="Times New Roman" w:hint="eastAsia"/>
          <w:kern w:val="2"/>
          <w:sz w:val="32"/>
          <w:szCs w:val="32"/>
        </w:rPr>
        <w:t>专家组</w:t>
      </w:r>
      <w:r>
        <w:rPr>
          <w:rFonts w:ascii="Times New Roman" w:eastAsia="仿宋_GB2312" w:hAnsi="Times New Roman" w:cs="Times New Roman"/>
          <w:kern w:val="2"/>
          <w:sz w:val="32"/>
          <w:szCs w:val="32"/>
        </w:rPr>
        <w:t>的职责是：</w:t>
      </w:r>
      <w:r>
        <w:rPr>
          <w:rFonts w:ascii="Times New Roman" w:eastAsia="仿宋_GB2312" w:hAnsi="Times New Roman" w:cs="Times New Roman" w:hint="eastAsia"/>
          <w:kern w:val="2"/>
          <w:sz w:val="32"/>
          <w:szCs w:val="32"/>
        </w:rPr>
        <w:t>专家组</w:t>
      </w:r>
      <w:r>
        <w:rPr>
          <w:rFonts w:ascii="Times New Roman" w:eastAsia="仿宋_GB2312" w:hAnsi="Times New Roman" w:cs="Times New Roman"/>
          <w:kern w:val="2"/>
          <w:sz w:val="32"/>
          <w:szCs w:val="32"/>
        </w:rPr>
        <w:t>根据评估工作方案，进行评估，形成评估</w:t>
      </w:r>
      <w:r>
        <w:rPr>
          <w:rFonts w:ascii="Times New Roman" w:eastAsia="仿宋_GB2312" w:hAnsi="Times New Roman" w:cs="Times New Roman" w:hint="eastAsia"/>
          <w:kern w:val="2"/>
          <w:sz w:val="32"/>
          <w:szCs w:val="32"/>
        </w:rPr>
        <w:t>意见</w:t>
      </w:r>
      <w:r>
        <w:rPr>
          <w:rFonts w:ascii="Times New Roman" w:eastAsia="仿宋_GB2312" w:hAnsi="Times New Roman" w:cs="Times New Roman"/>
          <w:kern w:val="2"/>
          <w:sz w:val="32"/>
          <w:szCs w:val="32"/>
        </w:rPr>
        <w:t>后提交科技厅。</w:t>
      </w:r>
    </w:p>
    <w:p w:rsidR="00B574B5" w:rsidRDefault="00093482" w:rsidP="0081477C">
      <w:pPr>
        <w:widowControl/>
        <w:adjustRightInd w:val="0"/>
        <w:snapToGrid w:val="0"/>
        <w:spacing w:line="560" w:lineRule="exact"/>
        <w:ind w:firstLineChars="200" w:firstLine="643"/>
        <w:rPr>
          <w:rFonts w:eastAsia="仿宋_GB2312" w:hint="eastAsia"/>
          <w:sz w:val="32"/>
          <w:szCs w:val="32"/>
        </w:rPr>
      </w:pPr>
      <w:r>
        <w:rPr>
          <w:rFonts w:eastAsia="仿宋_GB2312"/>
          <w:b/>
          <w:sz w:val="32"/>
          <w:szCs w:val="32"/>
        </w:rPr>
        <w:t>第五条</w:t>
      </w:r>
      <w:r>
        <w:rPr>
          <w:rFonts w:eastAsia="仿宋_GB2312"/>
          <w:sz w:val="32"/>
          <w:szCs w:val="32"/>
        </w:rPr>
        <w:t xml:space="preserve"> </w:t>
      </w:r>
      <w:r>
        <w:rPr>
          <w:rFonts w:eastAsia="仿宋_GB2312"/>
          <w:sz w:val="32"/>
          <w:szCs w:val="32"/>
        </w:rPr>
        <w:t>评估专家由本领域专业水平高、同行评价好、公道正派、</w:t>
      </w:r>
      <w:proofErr w:type="gramStart"/>
      <w:r>
        <w:rPr>
          <w:rFonts w:eastAsia="仿宋_GB2312"/>
          <w:sz w:val="32"/>
          <w:szCs w:val="32"/>
        </w:rPr>
        <w:t>熟悉国合基地</w:t>
      </w:r>
      <w:proofErr w:type="gramEnd"/>
      <w:r>
        <w:rPr>
          <w:rFonts w:eastAsia="仿宋_GB2312"/>
          <w:sz w:val="32"/>
          <w:szCs w:val="32"/>
        </w:rPr>
        <w:t>工作的科学家、产业专家和科研管理专家组成。</w:t>
      </w:r>
      <w:r>
        <w:rPr>
          <w:rFonts w:eastAsia="仿宋_GB2312" w:hint="eastAsia"/>
          <w:sz w:val="32"/>
          <w:szCs w:val="32"/>
        </w:rPr>
        <w:t>由科技厅按照基地所涉及专业领域，在国</w:t>
      </w:r>
      <w:proofErr w:type="gramStart"/>
      <w:r>
        <w:rPr>
          <w:rFonts w:eastAsia="仿宋_GB2312" w:hint="eastAsia"/>
          <w:sz w:val="32"/>
          <w:szCs w:val="32"/>
        </w:rPr>
        <w:t>合工作</w:t>
      </w:r>
      <w:proofErr w:type="gramEnd"/>
      <w:r>
        <w:rPr>
          <w:rFonts w:eastAsia="仿宋_GB2312" w:hint="eastAsia"/>
          <w:sz w:val="32"/>
          <w:szCs w:val="32"/>
        </w:rPr>
        <w:t>专家库中随机抽取，并根据实际情况进行合理调整后形成评估专家组。</w:t>
      </w:r>
      <w:r>
        <w:rPr>
          <w:rFonts w:eastAsia="仿宋_GB2312"/>
          <w:sz w:val="32"/>
          <w:szCs w:val="32"/>
        </w:rPr>
        <w:t>评</w:t>
      </w:r>
      <w:r>
        <w:rPr>
          <w:rFonts w:eastAsia="仿宋_GB2312"/>
          <w:sz w:val="32"/>
          <w:szCs w:val="32"/>
        </w:rPr>
        <w:t>估专家总人数一般为</w:t>
      </w:r>
      <w:r>
        <w:rPr>
          <w:rFonts w:eastAsia="仿宋_GB2312"/>
          <w:sz w:val="32"/>
          <w:szCs w:val="32"/>
        </w:rPr>
        <w:t>5-7</w:t>
      </w:r>
      <w:r>
        <w:rPr>
          <w:rFonts w:eastAsia="仿宋_GB2312"/>
          <w:sz w:val="32"/>
          <w:szCs w:val="32"/>
        </w:rPr>
        <w:t>人，由专家组组长主持评估。</w:t>
      </w:r>
    </w:p>
    <w:p w:rsidR="0006045B" w:rsidRDefault="0006045B" w:rsidP="0006045B">
      <w:pPr>
        <w:widowControl/>
        <w:adjustRightInd w:val="0"/>
        <w:snapToGrid w:val="0"/>
        <w:spacing w:line="560" w:lineRule="exact"/>
        <w:ind w:firstLineChars="200" w:firstLine="640"/>
        <w:rPr>
          <w:rFonts w:eastAsia="仿宋_GB2312"/>
          <w:sz w:val="32"/>
          <w:szCs w:val="32"/>
        </w:rPr>
      </w:pPr>
    </w:p>
    <w:p w:rsidR="00B574B5" w:rsidRDefault="00093482" w:rsidP="0081477C">
      <w:pPr>
        <w:pStyle w:val="a6"/>
        <w:adjustRightInd w:val="0"/>
        <w:snapToGrid w:val="0"/>
        <w:spacing w:before="0" w:beforeAutospacing="0" w:after="0" w:afterAutospacing="0" w:line="560" w:lineRule="exact"/>
        <w:ind w:firstLineChars="200" w:firstLine="643"/>
        <w:jc w:val="center"/>
        <w:rPr>
          <w:rFonts w:ascii="Times New Roman" w:eastAsia="仿宋_GB2312" w:hAnsi="Times New Roman" w:cs="Times New Roman"/>
          <w:sz w:val="32"/>
          <w:szCs w:val="32"/>
        </w:rPr>
      </w:pPr>
      <w:r>
        <w:rPr>
          <w:rStyle w:val="a8"/>
          <w:rFonts w:ascii="Times New Roman" w:eastAsia="仿宋_GB2312" w:hAnsi="Times New Roman" w:cs="Times New Roman"/>
          <w:sz w:val="32"/>
          <w:szCs w:val="32"/>
        </w:rPr>
        <w:t>第三章</w:t>
      </w:r>
      <w:r>
        <w:rPr>
          <w:rStyle w:val="a8"/>
          <w:rFonts w:ascii="Times New Roman" w:eastAsia="仿宋_GB2312" w:hAnsi="Times New Roman" w:cs="Times New Roman"/>
          <w:sz w:val="32"/>
          <w:szCs w:val="32"/>
        </w:rPr>
        <w:t xml:space="preserve"> </w:t>
      </w:r>
      <w:r>
        <w:rPr>
          <w:rStyle w:val="a8"/>
          <w:rFonts w:ascii="Times New Roman" w:eastAsia="仿宋_GB2312" w:hAnsi="Times New Roman" w:cs="Times New Roman"/>
          <w:sz w:val="32"/>
          <w:szCs w:val="32"/>
        </w:rPr>
        <w:t>评估工作组织和程序</w:t>
      </w:r>
    </w:p>
    <w:p w:rsidR="00B574B5" w:rsidRDefault="00093482" w:rsidP="0081477C">
      <w:pPr>
        <w:widowControl/>
        <w:adjustRightInd w:val="0"/>
        <w:snapToGrid w:val="0"/>
        <w:spacing w:line="560" w:lineRule="exact"/>
        <w:ind w:firstLineChars="200" w:firstLine="643"/>
        <w:rPr>
          <w:rStyle w:val="a8"/>
          <w:rFonts w:eastAsia="仿宋_GB2312"/>
          <w:b w:val="0"/>
          <w:bCs w:val="0"/>
          <w:sz w:val="32"/>
          <w:szCs w:val="32"/>
        </w:rPr>
      </w:pPr>
      <w:r>
        <w:rPr>
          <w:rStyle w:val="a8"/>
          <w:rFonts w:eastAsia="仿宋_GB2312"/>
          <w:sz w:val="32"/>
          <w:szCs w:val="32"/>
        </w:rPr>
        <w:t>第六条</w:t>
      </w:r>
      <w:r>
        <w:rPr>
          <w:rFonts w:eastAsia="仿宋_GB2312"/>
          <w:sz w:val="32"/>
          <w:szCs w:val="32"/>
        </w:rPr>
        <w:tab/>
        <w:t xml:space="preserve"> </w:t>
      </w:r>
      <w:r>
        <w:rPr>
          <w:rFonts w:eastAsia="仿宋_GB2312"/>
          <w:sz w:val="32"/>
          <w:szCs w:val="32"/>
        </w:rPr>
        <w:t>科技厅发布当年度参评国合基地名单和日程安排后，各相关基地按通知要求积极准备</w:t>
      </w:r>
      <w:r>
        <w:rPr>
          <w:rFonts w:eastAsia="仿宋_GB2312"/>
          <w:kern w:val="0"/>
          <w:sz w:val="32"/>
          <w:szCs w:val="32"/>
        </w:rPr>
        <w:t>评估工作所需材料，</w:t>
      </w:r>
      <w:r>
        <w:rPr>
          <w:rFonts w:eastAsia="仿宋_GB2312"/>
          <w:sz w:val="32"/>
          <w:szCs w:val="32"/>
        </w:rPr>
        <w:t>提交</w:t>
      </w:r>
      <w:proofErr w:type="gramStart"/>
      <w:r>
        <w:rPr>
          <w:rFonts w:eastAsia="仿宋_GB2312"/>
          <w:sz w:val="32"/>
          <w:szCs w:val="32"/>
        </w:rPr>
        <w:t>至组织</w:t>
      </w:r>
      <w:proofErr w:type="gramEnd"/>
      <w:r>
        <w:rPr>
          <w:rFonts w:eastAsia="仿宋_GB2312"/>
          <w:sz w:val="32"/>
          <w:szCs w:val="32"/>
        </w:rPr>
        <w:t>推荐部门进行初审。组织推荐部门审核完成后，按时向</w:t>
      </w:r>
      <w:r>
        <w:rPr>
          <w:rFonts w:eastAsia="仿宋_GB2312" w:hint="eastAsia"/>
          <w:sz w:val="32"/>
          <w:szCs w:val="32"/>
        </w:rPr>
        <w:t>科技厅</w:t>
      </w:r>
      <w:r>
        <w:rPr>
          <w:rFonts w:eastAsia="仿宋_GB2312"/>
          <w:sz w:val="32"/>
          <w:szCs w:val="32"/>
        </w:rPr>
        <w:t>提交</w:t>
      </w:r>
      <w:r>
        <w:rPr>
          <w:rFonts w:eastAsia="仿宋_GB2312" w:hint="eastAsia"/>
          <w:sz w:val="32"/>
          <w:szCs w:val="32"/>
        </w:rPr>
        <w:t>评估所需</w:t>
      </w:r>
      <w:r>
        <w:rPr>
          <w:rFonts w:eastAsia="仿宋_GB2312"/>
          <w:sz w:val="32"/>
          <w:szCs w:val="32"/>
        </w:rPr>
        <w:t>材料。</w:t>
      </w:r>
      <w:proofErr w:type="gramStart"/>
      <w:r>
        <w:rPr>
          <w:rFonts w:eastAsia="仿宋_GB2312"/>
          <w:sz w:val="32"/>
          <w:szCs w:val="32"/>
        </w:rPr>
        <w:t>参评国合基地</w:t>
      </w:r>
      <w:proofErr w:type="gramEnd"/>
      <w:r>
        <w:rPr>
          <w:rFonts w:eastAsia="仿宋_GB2312"/>
          <w:sz w:val="32"/>
          <w:szCs w:val="32"/>
        </w:rPr>
        <w:t>应确保所有材料的真实性和准确性。</w:t>
      </w:r>
    </w:p>
    <w:p w:rsidR="00B574B5" w:rsidRDefault="00093482" w:rsidP="0081477C">
      <w:pPr>
        <w:widowControl/>
        <w:adjustRightInd w:val="0"/>
        <w:snapToGrid w:val="0"/>
        <w:spacing w:line="560" w:lineRule="exact"/>
        <w:ind w:firstLineChars="200" w:firstLine="643"/>
        <w:rPr>
          <w:rFonts w:eastAsia="仿宋_GB2312"/>
          <w:sz w:val="32"/>
          <w:szCs w:val="32"/>
        </w:rPr>
      </w:pPr>
      <w:r>
        <w:rPr>
          <w:rStyle w:val="a8"/>
          <w:rFonts w:eastAsia="仿宋_GB2312"/>
          <w:sz w:val="32"/>
          <w:szCs w:val="32"/>
        </w:rPr>
        <w:t>第七条</w:t>
      </w:r>
      <w:r>
        <w:rPr>
          <w:rStyle w:val="a8"/>
          <w:rFonts w:eastAsia="仿宋_GB2312"/>
          <w:sz w:val="32"/>
          <w:szCs w:val="32"/>
        </w:rPr>
        <w:tab/>
        <w:t xml:space="preserve"> </w:t>
      </w:r>
      <w:r>
        <w:rPr>
          <w:rFonts w:eastAsia="仿宋_GB2312" w:hint="eastAsia"/>
          <w:sz w:val="32"/>
          <w:szCs w:val="32"/>
        </w:rPr>
        <w:t>科技厅</w:t>
      </w:r>
      <w:r>
        <w:rPr>
          <w:rFonts w:eastAsia="仿宋_GB2312"/>
          <w:sz w:val="32"/>
          <w:szCs w:val="32"/>
        </w:rPr>
        <w:t>根据组织推荐部门提交的</w:t>
      </w:r>
      <w:proofErr w:type="gramStart"/>
      <w:r>
        <w:rPr>
          <w:rFonts w:eastAsia="仿宋_GB2312"/>
          <w:sz w:val="32"/>
          <w:szCs w:val="32"/>
        </w:rPr>
        <w:t>参评国合基地</w:t>
      </w:r>
      <w:proofErr w:type="gramEnd"/>
      <w:r>
        <w:rPr>
          <w:rFonts w:eastAsia="仿宋_GB2312"/>
          <w:sz w:val="32"/>
          <w:szCs w:val="32"/>
        </w:rPr>
        <w:t>评估材料，组织专家组进行会议评估或实地考察评估。评估工作以会议评估形式为主，根据需要，可结合实地考察评估综合进行。</w:t>
      </w:r>
    </w:p>
    <w:p w:rsidR="00B574B5" w:rsidRDefault="00093482">
      <w:pPr>
        <w:pStyle w:val="a6"/>
        <w:shd w:val="clear" w:color="auto" w:fill="FFFFFF"/>
        <w:adjustRightInd w:val="0"/>
        <w:snapToGrid w:val="0"/>
        <w:spacing w:before="0" w:beforeAutospacing="0" w:after="0" w:afterAutospacing="0"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会议评估工作内容包括：一是审阅</w:t>
      </w:r>
      <w:proofErr w:type="gramStart"/>
      <w:r>
        <w:rPr>
          <w:rFonts w:ascii="Times New Roman" w:eastAsia="仿宋_GB2312" w:hAnsi="Times New Roman" w:cs="Times New Roman"/>
          <w:kern w:val="2"/>
          <w:sz w:val="32"/>
          <w:szCs w:val="32"/>
        </w:rPr>
        <w:t>参评国合基地</w:t>
      </w:r>
      <w:proofErr w:type="gramEnd"/>
      <w:r>
        <w:rPr>
          <w:rFonts w:ascii="Times New Roman" w:eastAsia="仿宋_GB2312" w:hAnsi="Times New Roman" w:cs="Times New Roman"/>
          <w:kern w:val="2"/>
          <w:sz w:val="32"/>
          <w:szCs w:val="32"/>
        </w:rPr>
        <w:t>提交的基地评估材料；二是</w:t>
      </w:r>
      <w:proofErr w:type="gramStart"/>
      <w:r>
        <w:rPr>
          <w:rFonts w:ascii="Times New Roman" w:eastAsia="仿宋_GB2312" w:hAnsi="Times New Roman" w:cs="Times New Roman"/>
          <w:kern w:val="2"/>
          <w:sz w:val="32"/>
          <w:szCs w:val="32"/>
        </w:rPr>
        <w:t>听取国合基地</w:t>
      </w:r>
      <w:proofErr w:type="gramEnd"/>
      <w:r>
        <w:rPr>
          <w:rFonts w:ascii="Times New Roman" w:eastAsia="仿宋_GB2312" w:hAnsi="Times New Roman" w:cs="Times New Roman"/>
          <w:kern w:val="2"/>
          <w:sz w:val="32"/>
          <w:szCs w:val="32"/>
        </w:rPr>
        <w:t>负责人工作报告；三是对国</w:t>
      </w:r>
      <w:proofErr w:type="gramStart"/>
      <w:r>
        <w:rPr>
          <w:rFonts w:ascii="Times New Roman" w:eastAsia="仿宋_GB2312" w:hAnsi="Times New Roman" w:cs="Times New Roman"/>
          <w:kern w:val="2"/>
          <w:sz w:val="32"/>
          <w:szCs w:val="32"/>
        </w:rPr>
        <w:t>合基地</w:t>
      </w:r>
      <w:proofErr w:type="gramEnd"/>
      <w:r>
        <w:rPr>
          <w:rFonts w:ascii="Times New Roman" w:eastAsia="仿宋_GB2312" w:hAnsi="Times New Roman" w:cs="Times New Roman"/>
          <w:kern w:val="2"/>
          <w:sz w:val="32"/>
          <w:szCs w:val="32"/>
        </w:rPr>
        <w:t>科研工作、人才队伍建设、成果转化等情况进行座谈提问，核实相关材料。</w:t>
      </w:r>
    </w:p>
    <w:p w:rsidR="00B574B5" w:rsidRDefault="00093482">
      <w:pPr>
        <w:pStyle w:val="a6"/>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实地考察评估除审阅评估材料和听取工作汇报外，重点</w:t>
      </w:r>
      <w:proofErr w:type="gramStart"/>
      <w:r>
        <w:rPr>
          <w:rFonts w:ascii="Times New Roman" w:eastAsia="仿宋_GB2312" w:hAnsi="Times New Roman" w:cs="Times New Roman"/>
          <w:sz w:val="32"/>
          <w:szCs w:val="32"/>
        </w:rPr>
        <w:t>考察国合基地</w:t>
      </w:r>
      <w:proofErr w:type="gramEnd"/>
      <w:r>
        <w:rPr>
          <w:rFonts w:ascii="Times New Roman" w:eastAsia="仿宋_GB2312" w:hAnsi="Times New Roman" w:cs="Times New Roman"/>
          <w:sz w:val="32"/>
          <w:szCs w:val="32"/>
        </w:rPr>
        <w:t>的工作状态、研究工作情况、仪器设备运行管理和共享、技术引进</w:t>
      </w:r>
      <w:r>
        <w:rPr>
          <w:rFonts w:ascii="Times New Roman" w:eastAsia="仿宋_GB2312" w:hAnsi="Times New Roman" w:cs="Times New Roman"/>
          <w:sz w:val="32"/>
          <w:szCs w:val="32"/>
        </w:rPr>
        <w:t>情况、人才队伍建设和对外开放以及管理工作等。</w:t>
      </w:r>
    </w:p>
    <w:p w:rsidR="00B574B5" w:rsidRDefault="00093482" w:rsidP="0081477C">
      <w:pPr>
        <w:pStyle w:val="a6"/>
        <w:adjustRightInd w:val="0"/>
        <w:snapToGrid w:val="0"/>
        <w:spacing w:before="0" w:beforeAutospacing="0" w:after="0" w:afterAutospacing="0" w:line="560" w:lineRule="exact"/>
        <w:ind w:firstLineChars="200" w:firstLine="643"/>
        <w:jc w:val="both"/>
        <w:rPr>
          <w:rFonts w:ascii="Times New Roman" w:eastAsia="仿宋_GB2312" w:hAnsi="Times New Roman" w:cs="Times New Roman"/>
          <w:sz w:val="32"/>
          <w:szCs w:val="32"/>
        </w:rPr>
      </w:pPr>
      <w:r>
        <w:rPr>
          <w:rStyle w:val="a8"/>
          <w:rFonts w:ascii="Times New Roman" w:eastAsia="仿宋_GB2312" w:hAnsi="Times New Roman" w:cs="Times New Roman"/>
          <w:sz w:val="32"/>
          <w:szCs w:val="32"/>
        </w:rPr>
        <w:t>第八条</w:t>
      </w:r>
      <w:r>
        <w:rPr>
          <w:rFonts w:ascii="Times New Roman" w:eastAsia="仿宋_GB2312" w:hAnsi="Times New Roman" w:cs="Times New Roman"/>
          <w:sz w:val="32"/>
          <w:szCs w:val="32"/>
        </w:rPr>
        <w:t xml:space="preserve"> </w:t>
      </w:r>
      <w:proofErr w:type="gramStart"/>
      <w:r>
        <w:rPr>
          <w:rFonts w:ascii="Times New Roman" w:eastAsia="仿宋_GB2312" w:hAnsi="Times New Roman" w:cs="Times New Roman"/>
          <w:sz w:val="32"/>
          <w:szCs w:val="32"/>
        </w:rPr>
        <w:t>参评国合基地</w:t>
      </w:r>
      <w:proofErr w:type="gramEnd"/>
      <w:r>
        <w:rPr>
          <w:rFonts w:ascii="Times New Roman" w:eastAsia="仿宋_GB2312" w:hAnsi="Times New Roman" w:cs="Times New Roman"/>
          <w:sz w:val="32"/>
          <w:szCs w:val="32"/>
        </w:rPr>
        <w:t>应展示与基地建设有关的项目合同书、项目批准书、获奖证书、完成的各类成果、会议相关文（信）件、国合基地年度报告、规章制度等各类佐证材料，以备专家或工作人员查阅。</w:t>
      </w:r>
    </w:p>
    <w:p w:rsidR="00B574B5" w:rsidRDefault="00093482" w:rsidP="0081477C">
      <w:pPr>
        <w:widowControl/>
        <w:adjustRightInd w:val="0"/>
        <w:snapToGrid w:val="0"/>
        <w:spacing w:line="560" w:lineRule="exact"/>
        <w:ind w:firstLineChars="200" w:firstLine="643"/>
        <w:rPr>
          <w:rFonts w:eastAsia="仿宋_GB2312"/>
          <w:sz w:val="32"/>
          <w:szCs w:val="32"/>
        </w:rPr>
      </w:pPr>
      <w:r>
        <w:rPr>
          <w:rStyle w:val="a8"/>
          <w:rFonts w:eastAsia="仿宋_GB2312"/>
          <w:sz w:val="32"/>
          <w:szCs w:val="32"/>
        </w:rPr>
        <w:t>第九条</w:t>
      </w:r>
      <w:r>
        <w:rPr>
          <w:rStyle w:val="a8"/>
          <w:rFonts w:eastAsia="仿宋_GB2312"/>
          <w:sz w:val="32"/>
          <w:szCs w:val="32"/>
        </w:rPr>
        <w:tab/>
      </w:r>
      <w:r>
        <w:rPr>
          <w:rFonts w:eastAsia="仿宋_GB2312"/>
          <w:sz w:val="32"/>
          <w:szCs w:val="32"/>
        </w:rPr>
        <w:tab/>
      </w:r>
      <w:r>
        <w:rPr>
          <w:rFonts w:eastAsia="仿宋_GB2312"/>
          <w:sz w:val="32"/>
          <w:szCs w:val="32"/>
        </w:rPr>
        <w:t>参评国合基地负责人应对评估期限内国合基地工作进行全面、系统总结，同时对代表性工作成果进行报告。代表性工作成果是指评估期限内各类国合基地在主要研究或工作方向上，以该基地为承担或实施主体、基地固定人员为主产出的重要科研成果、技术转移成果、技术转化和产业化成果等。</w:t>
      </w:r>
    </w:p>
    <w:p w:rsidR="00B574B5" w:rsidRDefault="00093482" w:rsidP="0081477C">
      <w:pPr>
        <w:widowControl/>
        <w:adjustRightInd w:val="0"/>
        <w:snapToGrid w:val="0"/>
        <w:spacing w:line="560" w:lineRule="exact"/>
        <w:ind w:firstLineChars="200" w:firstLine="643"/>
        <w:rPr>
          <w:rFonts w:eastAsia="仿宋_GB2312"/>
          <w:sz w:val="32"/>
          <w:szCs w:val="32"/>
        </w:rPr>
      </w:pPr>
      <w:r>
        <w:rPr>
          <w:rStyle w:val="a8"/>
          <w:rFonts w:eastAsia="仿宋_GB2312"/>
          <w:sz w:val="32"/>
          <w:szCs w:val="32"/>
        </w:rPr>
        <w:t>第十条</w:t>
      </w:r>
      <w:r>
        <w:rPr>
          <w:rStyle w:val="a8"/>
          <w:rFonts w:eastAsia="仿宋_GB2312"/>
          <w:sz w:val="32"/>
          <w:szCs w:val="32"/>
        </w:rPr>
        <w:t xml:space="preserve"> </w:t>
      </w:r>
      <w:r>
        <w:rPr>
          <w:rFonts w:eastAsia="仿宋_GB2312"/>
          <w:sz w:val="32"/>
          <w:szCs w:val="32"/>
        </w:rPr>
        <w:t>专家组每位专家在进行会议评估或实地考察评估结束后，参照四川省国际科技合作基地评估指标独立对国合基地实名打分，并研究提出书面评估意见。专家组对国合基地的评价要坚持高标准、严要求，在充分肯定成绩的同时，更要明确指出国合基地存在的问题和改进建议。</w:t>
      </w:r>
    </w:p>
    <w:p w:rsidR="00B574B5" w:rsidRDefault="00093482" w:rsidP="0081477C">
      <w:pPr>
        <w:widowControl/>
        <w:adjustRightInd w:val="0"/>
        <w:snapToGrid w:val="0"/>
        <w:spacing w:line="560" w:lineRule="exact"/>
        <w:ind w:firstLineChars="200" w:firstLine="643"/>
        <w:rPr>
          <w:rFonts w:eastAsia="仿宋_GB2312" w:hint="eastAsia"/>
          <w:sz w:val="32"/>
          <w:szCs w:val="32"/>
        </w:rPr>
      </w:pPr>
      <w:r>
        <w:rPr>
          <w:rStyle w:val="a8"/>
          <w:rFonts w:eastAsia="仿宋_GB2312"/>
          <w:sz w:val="32"/>
          <w:szCs w:val="32"/>
        </w:rPr>
        <w:lastRenderedPageBreak/>
        <w:t>第十一条</w:t>
      </w:r>
      <w:r>
        <w:rPr>
          <w:rStyle w:val="a8"/>
          <w:rFonts w:eastAsia="仿宋_GB2312"/>
          <w:sz w:val="32"/>
          <w:szCs w:val="32"/>
        </w:rPr>
        <w:tab/>
      </w:r>
      <w:r>
        <w:rPr>
          <w:rFonts w:eastAsia="仿宋_GB2312"/>
          <w:sz w:val="32"/>
          <w:szCs w:val="32"/>
        </w:rPr>
        <w:t>评估结束后，</w:t>
      </w:r>
      <w:r>
        <w:rPr>
          <w:rFonts w:eastAsia="仿宋_GB2312" w:hint="eastAsia"/>
          <w:sz w:val="32"/>
          <w:szCs w:val="32"/>
        </w:rPr>
        <w:t>科技厅根据专家组意见，</w:t>
      </w:r>
      <w:r>
        <w:rPr>
          <w:rFonts w:eastAsia="仿宋_GB2312"/>
          <w:sz w:val="32"/>
          <w:szCs w:val="32"/>
        </w:rPr>
        <w:t>形成评估报告。</w:t>
      </w:r>
    </w:p>
    <w:p w:rsidR="0006045B" w:rsidRDefault="0006045B" w:rsidP="0006045B">
      <w:pPr>
        <w:widowControl/>
        <w:adjustRightInd w:val="0"/>
        <w:snapToGrid w:val="0"/>
        <w:spacing w:line="560" w:lineRule="exact"/>
        <w:ind w:firstLineChars="200" w:firstLine="643"/>
        <w:rPr>
          <w:rFonts w:eastAsia="仿宋_GB2312"/>
          <w:b/>
          <w:bCs/>
          <w:sz w:val="32"/>
          <w:szCs w:val="32"/>
        </w:rPr>
      </w:pPr>
    </w:p>
    <w:p w:rsidR="00B574B5" w:rsidRDefault="00093482" w:rsidP="0081477C">
      <w:pPr>
        <w:pStyle w:val="a6"/>
        <w:adjustRightInd w:val="0"/>
        <w:snapToGrid w:val="0"/>
        <w:spacing w:before="0" w:beforeAutospacing="0" w:after="0" w:afterAutospacing="0" w:line="560" w:lineRule="exact"/>
        <w:ind w:firstLineChars="200" w:firstLine="643"/>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第四章</w:t>
      </w:r>
      <w:r>
        <w:rPr>
          <w:rFonts w:ascii="Times New Roman" w:eastAsia="仿宋_GB2312" w:hAnsi="Times New Roman" w:cs="Times New Roman"/>
          <w:b/>
          <w:sz w:val="32"/>
          <w:szCs w:val="32"/>
        </w:rPr>
        <w:t xml:space="preserve">  </w:t>
      </w:r>
      <w:r>
        <w:rPr>
          <w:rFonts w:ascii="Times New Roman" w:eastAsia="仿宋_GB2312" w:hAnsi="Times New Roman" w:cs="Times New Roman"/>
          <w:b/>
          <w:sz w:val="32"/>
          <w:szCs w:val="32"/>
        </w:rPr>
        <w:t>评估结果</w:t>
      </w:r>
    </w:p>
    <w:p w:rsidR="00B574B5" w:rsidRDefault="00093482" w:rsidP="0081477C">
      <w:pPr>
        <w:widowControl/>
        <w:adjustRightInd w:val="0"/>
        <w:snapToGrid w:val="0"/>
        <w:spacing w:line="560" w:lineRule="exact"/>
        <w:ind w:firstLineChars="200" w:firstLine="643"/>
        <w:rPr>
          <w:rFonts w:eastAsia="仿宋_GB2312"/>
          <w:sz w:val="32"/>
          <w:szCs w:val="32"/>
        </w:rPr>
      </w:pPr>
      <w:r>
        <w:rPr>
          <w:rFonts w:eastAsia="仿宋_GB2312"/>
          <w:b/>
          <w:kern w:val="0"/>
          <w:sz w:val="32"/>
          <w:szCs w:val="32"/>
        </w:rPr>
        <w:t>第十二条</w:t>
      </w:r>
      <w:r>
        <w:rPr>
          <w:rFonts w:eastAsia="仿宋_GB2312"/>
          <w:sz w:val="32"/>
          <w:szCs w:val="32"/>
        </w:rPr>
        <w:t xml:space="preserve"> </w:t>
      </w:r>
      <w:r>
        <w:rPr>
          <w:rFonts w:eastAsia="仿宋_GB2312"/>
          <w:sz w:val="32"/>
          <w:szCs w:val="32"/>
        </w:rPr>
        <w:t>评估结果采用百分制，</w:t>
      </w:r>
      <w:r>
        <w:rPr>
          <w:rFonts w:eastAsia="仿宋_GB2312"/>
          <w:sz w:val="32"/>
          <w:szCs w:val="32"/>
        </w:rPr>
        <w:t>90</w:t>
      </w:r>
      <w:r>
        <w:rPr>
          <w:rFonts w:eastAsia="仿宋_GB2312"/>
          <w:sz w:val="32"/>
          <w:szCs w:val="32"/>
        </w:rPr>
        <w:t>分及以上为</w:t>
      </w:r>
      <w:r>
        <w:rPr>
          <w:rFonts w:eastAsia="仿宋_GB2312"/>
          <w:sz w:val="32"/>
          <w:szCs w:val="32"/>
        </w:rPr>
        <w:t>“</w:t>
      </w:r>
      <w:r>
        <w:rPr>
          <w:rFonts w:eastAsia="仿宋_GB2312"/>
          <w:sz w:val="32"/>
          <w:szCs w:val="32"/>
        </w:rPr>
        <w:t>优秀</w:t>
      </w:r>
      <w:r>
        <w:rPr>
          <w:rFonts w:eastAsia="仿宋_GB2312"/>
          <w:sz w:val="32"/>
          <w:szCs w:val="32"/>
        </w:rPr>
        <w:t>”</w:t>
      </w:r>
      <w:r>
        <w:rPr>
          <w:rFonts w:eastAsia="仿宋_GB2312"/>
          <w:sz w:val="32"/>
          <w:szCs w:val="32"/>
        </w:rPr>
        <w:t>，</w:t>
      </w:r>
      <w:r>
        <w:rPr>
          <w:rFonts w:eastAsia="仿宋_GB2312"/>
          <w:sz w:val="32"/>
          <w:szCs w:val="32"/>
        </w:rPr>
        <w:t xml:space="preserve"> 75</w:t>
      </w:r>
      <w:r>
        <w:rPr>
          <w:rFonts w:eastAsia="仿宋_GB2312" w:hint="eastAsia"/>
          <w:sz w:val="32"/>
          <w:szCs w:val="32"/>
        </w:rPr>
        <w:t>-89</w:t>
      </w:r>
      <w:r>
        <w:rPr>
          <w:rFonts w:eastAsia="仿宋_GB2312" w:hint="eastAsia"/>
          <w:sz w:val="32"/>
          <w:szCs w:val="32"/>
        </w:rPr>
        <w:t>分</w:t>
      </w:r>
      <w:r>
        <w:rPr>
          <w:rFonts w:eastAsia="仿宋_GB2312"/>
          <w:sz w:val="32"/>
          <w:szCs w:val="32"/>
        </w:rPr>
        <w:t>为</w:t>
      </w:r>
      <w:r>
        <w:rPr>
          <w:rFonts w:eastAsia="仿宋_GB2312"/>
          <w:sz w:val="32"/>
          <w:szCs w:val="32"/>
        </w:rPr>
        <w:t>“</w:t>
      </w:r>
      <w:r>
        <w:rPr>
          <w:rFonts w:eastAsia="仿宋_GB2312"/>
          <w:sz w:val="32"/>
          <w:szCs w:val="32"/>
        </w:rPr>
        <w:t>良好</w:t>
      </w:r>
      <w:r>
        <w:rPr>
          <w:rFonts w:eastAsia="仿宋_GB2312"/>
          <w:sz w:val="32"/>
          <w:szCs w:val="32"/>
        </w:rPr>
        <w:t>”</w:t>
      </w:r>
      <w:r>
        <w:rPr>
          <w:rFonts w:eastAsia="仿宋_GB2312"/>
          <w:sz w:val="32"/>
          <w:szCs w:val="32"/>
        </w:rPr>
        <w:t>，</w:t>
      </w:r>
      <w:r>
        <w:rPr>
          <w:rFonts w:eastAsia="仿宋_GB2312"/>
          <w:sz w:val="32"/>
          <w:szCs w:val="32"/>
        </w:rPr>
        <w:t>60</w:t>
      </w:r>
      <w:r>
        <w:rPr>
          <w:rFonts w:eastAsia="仿宋_GB2312" w:hint="eastAsia"/>
          <w:sz w:val="32"/>
          <w:szCs w:val="32"/>
        </w:rPr>
        <w:t>-74</w:t>
      </w:r>
      <w:r>
        <w:rPr>
          <w:rFonts w:eastAsia="仿宋_GB2312" w:hint="eastAsia"/>
          <w:sz w:val="32"/>
          <w:szCs w:val="32"/>
        </w:rPr>
        <w:t>分</w:t>
      </w:r>
      <w:r>
        <w:rPr>
          <w:rFonts w:eastAsia="仿宋_GB2312"/>
          <w:sz w:val="32"/>
          <w:szCs w:val="32"/>
        </w:rPr>
        <w:t>为</w:t>
      </w:r>
      <w:r>
        <w:rPr>
          <w:rFonts w:eastAsia="仿宋_GB2312"/>
          <w:sz w:val="32"/>
          <w:szCs w:val="32"/>
        </w:rPr>
        <w:t>“</w:t>
      </w:r>
      <w:r>
        <w:rPr>
          <w:rFonts w:eastAsia="仿宋_GB2312"/>
          <w:sz w:val="32"/>
          <w:szCs w:val="32"/>
        </w:rPr>
        <w:t>合格</w:t>
      </w:r>
      <w:r>
        <w:rPr>
          <w:rFonts w:eastAsia="仿宋_GB2312"/>
          <w:sz w:val="32"/>
          <w:szCs w:val="32"/>
        </w:rPr>
        <w:t>”</w:t>
      </w:r>
      <w:r>
        <w:rPr>
          <w:rFonts w:eastAsia="仿宋_GB2312"/>
          <w:sz w:val="32"/>
          <w:szCs w:val="32"/>
        </w:rPr>
        <w:t>，</w:t>
      </w:r>
      <w:r>
        <w:rPr>
          <w:rFonts w:eastAsia="仿宋_GB2312"/>
          <w:sz w:val="32"/>
          <w:szCs w:val="32"/>
        </w:rPr>
        <w:t>60</w:t>
      </w:r>
      <w:r>
        <w:rPr>
          <w:rFonts w:eastAsia="仿宋_GB2312"/>
          <w:sz w:val="32"/>
          <w:szCs w:val="32"/>
        </w:rPr>
        <w:t>分以下为</w:t>
      </w:r>
      <w:r>
        <w:rPr>
          <w:rFonts w:eastAsia="仿宋_GB2312"/>
          <w:sz w:val="32"/>
          <w:szCs w:val="32"/>
        </w:rPr>
        <w:t>“</w:t>
      </w:r>
      <w:r>
        <w:rPr>
          <w:rFonts w:eastAsia="仿宋_GB2312"/>
          <w:sz w:val="32"/>
          <w:szCs w:val="32"/>
        </w:rPr>
        <w:t>不合格</w:t>
      </w:r>
      <w:r>
        <w:rPr>
          <w:rFonts w:eastAsia="仿宋_GB2312"/>
          <w:sz w:val="32"/>
          <w:szCs w:val="32"/>
        </w:rPr>
        <w:t>”</w:t>
      </w:r>
      <w:r>
        <w:rPr>
          <w:rFonts w:eastAsia="仿宋_GB2312"/>
          <w:sz w:val="32"/>
          <w:szCs w:val="32"/>
        </w:rPr>
        <w:t>。</w:t>
      </w:r>
    </w:p>
    <w:p w:rsidR="00B574B5" w:rsidRDefault="00093482" w:rsidP="0081477C">
      <w:pPr>
        <w:widowControl/>
        <w:adjustRightInd w:val="0"/>
        <w:snapToGrid w:val="0"/>
        <w:spacing w:line="560" w:lineRule="exact"/>
        <w:ind w:firstLineChars="200" w:firstLine="643"/>
        <w:rPr>
          <w:rFonts w:eastAsia="仿宋_GB2312"/>
          <w:sz w:val="32"/>
          <w:szCs w:val="32"/>
        </w:rPr>
      </w:pPr>
      <w:r>
        <w:rPr>
          <w:rStyle w:val="a8"/>
          <w:rFonts w:eastAsia="仿宋_GB2312"/>
          <w:sz w:val="32"/>
          <w:szCs w:val="32"/>
        </w:rPr>
        <w:t>第十三条</w:t>
      </w:r>
      <w:r>
        <w:rPr>
          <w:rFonts w:eastAsia="仿宋_GB2312"/>
          <w:sz w:val="32"/>
          <w:szCs w:val="32"/>
        </w:rPr>
        <w:tab/>
      </w:r>
      <w:r>
        <w:rPr>
          <w:rFonts w:eastAsia="仿宋_GB2312"/>
          <w:sz w:val="32"/>
          <w:szCs w:val="32"/>
        </w:rPr>
        <w:t>国合基地年度报告是评估的重要参考材料。评估周期内有一次未按要求提交年度报告的，当次评估结果扣</w:t>
      </w:r>
      <w:r>
        <w:rPr>
          <w:rFonts w:eastAsia="仿宋_GB2312"/>
          <w:sz w:val="32"/>
          <w:szCs w:val="32"/>
        </w:rPr>
        <w:t>10</w:t>
      </w:r>
      <w:r>
        <w:rPr>
          <w:rFonts w:eastAsia="仿宋_GB2312"/>
          <w:sz w:val="32"/>
          <w:szCs w:val="32"/>
        </w:rPr>
        <w:t>分；连续两次未按要求提交年度报告的，取消国合基地资格。</w:t>
      </w:r>
    </w:p>
    <w:p w:rsidR="00B574B5" w:rsidRDefault="00093482" w:rsidP="0081477C">
      <w:pPr>
        <w:widowControl/>
        <w:adjustRightInd w:val="0"/>
        <w:snapToGrid w:val="0"/>
        <w:spacing w:line="560" w:lineRule="exact"/>
        <w:ind w:firstLineChars="200" w:firstLine="643"/>
        <w:rPr>
          <w:rFonts w:eastAsia="仿宋_GB2312"/>
          <w:kern w:val="0"/>
          <w:sz w:val="32"/>
          <w:szCs w:val="32"/>
        </w:rPr>
      </w:pPr>
      <w:r>
        <w:rPr>
          <w:rStyle w:val="a8"/>
          <w:rFonts w:eastAsia="仿宋_GB2312"/>
          <w:sz w:val="32"/>
          <w:szCs w:val="32"/>
        </w:rPr>
        <w:t>第十四条</w:t>
      </w:r>
      <w:r>
        <w:rPr>
          <w:rStyle w:val="a8"/>
          <w:rFonts w:eastAsia="仿宋_GB2312"/>
          <w:sz w:val="32"/>
          <w:szCs w:val="32"/>
        </w:rPr>
        <w:t xml:space="preserve"> </w:t>
      </w:r>
      <w:r>
        <w:rPr>
          <w:rFonts w:eastAsia="仿宋_GB2312" w:hint="eastAsia"/>
          <w:sz w:val="32"/>
          <w:szCs w:val="32"/>
        </w:rPr>
        <w:t>评估</w:t>
      </w:r>
      <w:r>
        <w:rPr>
          <w:rFonts w:eastAsia="仿宋_GB2312"/>
          <w:sz w:val="32"/>
          <w:szCs w:val="32"/>
        </w:rPr>
        <w:t>过程中一旦发现</w:t>
      </w:r>
      <w:r>
        <w:rPr>
          <w:rFonts w:eastAsia="仿宋_GB2312" w:hint="eastAsia"/>
          <w:sz w:val="32"/>
          <w:szCs w:val="32"/>
        </w:rPr>
        <w:t>评估</w:t>
      </w:r>
      <w:r>
        <w:rPr>
          <w:rFonts w:eastAsia="仿宋_GB2312"/>
          <w:sz w:val="32"/>
          <w:szCs w:val="32"/>
        </w:rPr>
        <w:t>材料弄虚作假</w:t>
      </w:r>
      <w:r>
        <w:rPr>
          <w:rFonts w:eastAsia="仿宋_GB2312"/>
          <w:sz w:val="32"/>
          <w:szCs w:val="32"/>
        </w:rPr>
        <w:t>,</w:t>
      </w:r>
      <w:r>
        <w:rPr>
          <w:rFonts w:eastAsia="仿宋_GB2312"/>
          <w:sz w:val="32"/>
          <w:szCs w:val="32"/>
        </w:rPr>
        <w:t>相关基地本次评估直接确定为</w:t>
      </w:r>
      <w:r>
        <w:rPr>
          <w:rFonts w:eastAsia="仿宋_GB2312"/>
          <w:sz w:val="32"/>
          <w:szCs w:val="32"/>
        </w:rPr>
        <w:t>“</w:t>
      </w:r>
      <w:r>
        <w:rPr>
          <w:rFonts w:eastAsia="仿宋_GB2312"/>
          <w:sz w:val="32"/>
          <w:szCs w:val="32"/>
        </w:rPr>
        <w:t>不合格</w:t>
      </w:r>
      <w:r>
        <w:rPr>
          <w:rFonts w:eastAsia="仿宋_GB2312"/>
          <w:sz w:val="32"/>
          <w:szCs w:val="32"/>
        </w:rPr>
        <w:t>”</w:t>
      </w:r>
      <w:r>
        <w:rPr>
          <w:rFonts w:eastAsia="仿宋_GB2312"/>
          <w:sz w:val="32"/>
          <w:szCs w:val="32"/>
        </w:rPr>
        <w:t>。</w:t>
      </w:r>
    </w:p>
    <w:p w:rsidR="00B574B5" w:rsidRDefault="00093482" w:rsidP="0081477C">
      <w:pPr>
        <w:widowControl/>
        <w:adjustRightInd w:val="0"/>
        <w:snapToGrid w:val="0"/>
        <w:spacing w:line="560" w:lineRule="exact"/>
        <w:ind w:firstLineChars="200" w:firstLine="643"/>
        <w:rPr>
          <w:rFonts w:eastAsia="仿宋_GB2312"/>
          <w:sz w:val="32"/>
          <w:szCs w:val="32"/>
        </w:rPr>
      </w:pPr>
      <w:r>
        <w:rPr>
          <w:rFonts w:eastAsia="仿宋_GB2312"/>
          <w:b/>
          <w:kern w:val="0"/>
          <w:sz w:val="32"/>
          <w:szCs w:val="32"/>
        </w:rPr>
        <w:t>第十五条</w:t>
      </w:r>
      <w:r>
        <w:rPr>
          <w:rFonts w:eastAsia="仿宋_GB2312"/>
          <w:kern w:val="0"/>
          <w:sz w:val="32"/>
          <w:szCs w:val="32"/>
        </w:rPr>
        <w:tab/>
      </w:r>
      <w:r>
        <w:rPr>
          <w:rFonts w:eastAsia="仿宋_GB2312"/>
          <w:sz w:val="32"/>
          <w:szCs w:val="32"/>
        </w:rPr>
        <w:t>评估结果由科技厅审核后公示并通知国合基地依托单位和组织推荐部门。</w:t>
      </w:r>
    </w:p>
    <w:p w:rsidR="00B574B5" w:rsidRDefault="00093482" w:rsidP="0081477C">
      <w:pPr>
        <w:widowControl/>
        <w:adjustRightInd w:val="0"/>
        <w:snapToGrid w:val="0"/>
        <w:spacing w:line="560" w:lineRule="exact"/>
        <w:ind w:firstLineChars="200" w:firstLine="643"/>
        <w:rPr>
          <w:rFonts w:eastAsia="仿宋_GB2312"/>
          <w:kern w:val="0"/>
          <w:sz w:val="32"/>
          <w:szCs w:val="32"/>
        </w:rPr>
      </w:pPr>
      <w:r>
        <w:rPr>
          <w:rFonts w:eastAsia="仿宋_GB2312"/>
          <w:b/>
          <w:sz w:val="32"/>
          <w:szCs w:val="32"/>
        </w:rPr>
        <w:t>第十六条</w:t>
      </w:r>
      <w:r>
        <w:rPr>
          <w:rFonts w:eastAsia="仿宋_GB2312"/>
          <w:sz w:val="32"/>
          <w:szCs w:val="32"/>
        </w:rPr>
        <w:t xml:space="preserve"> </w:t>
      </w:r>
      <w:r>
        <w:rPr>
          <w:rFonts w:eastAsia="仿宋_GB2312"/>
          <w:sz w:val="32"/>
          <w:szCs w:val="32"/>
        </w:rPr>
        <w:t>科技厅根据国合基地评估结果，</w:t>
      </w:r>
      <w:r>
        <w:rPr>
          <w:rFonts w:eastAsia="仿宋_GB2312" w:hint="eastAsia"/>
          <w:sz w:val="32"/>
          <w:szCs w:val="32"/>
        </w:rPr>
        <w:t>对“优秀”“良好”及“合格”的基地给予服务运行后补助</w:t>
      </w:r>
      <w:r>
        <w:rPr>
          <w:rFonts w:eastAsia="仿宋_GB2312"/>
          <w:sz w:val="32"/>
          <w:szCs w:val="32"/>
        </w:rPr>
        <w:t>。</w:t>
      </w:r>
    </w:p>
    <w:p w:rsidR="00B574B5" w:rsidRDefault="00093482" w:rsidP="0081477C">
      <w:pPr>
        <w:widowControl/>
        <w:adjustRightInd w:val="0"/>
        <w:snapToGrid w:val="0"/>
        <w:spacing w:line="560" w:lineRule="exact"/>
        <w:ind w:firstLineChars="200" w:firstLine="643"/>
        <w:rPr>
          <w:rFonts w:eastAsia="仿宋_GB2312" w:hint="eastAsia"/>
          <w:kern w:val="0"/>
          <w:sz w:val="32"/>
          <w:szCs w:val="32"/>
        </w:rPr>
      </w:pPr>
      <w:r>
        <w:rPr>
          <w:rFonts w:eastAsia="仿宋_GB2312"/>
          <w:b/>
          <w:kern w:val="0"/>
          <w:sz w:val="32"/>
          <w:szCs w:val="32"/>
        </w:rPr>
        <w:t>第十七条</w:t>
      </w:r>
      <w:r>
        <w:rPr>
          <w:rFonts w:eastAsia="仿宋_GB2312"/>
          <w:kern w:val="0"/>
          <w:sz w:val="32"/>
          <w:szCs w:val="32"/>
        </w:rPr>
        <w:tab/>
      </w:r>
      <w:r>
        <w:rPr>
          <w:rFonts w:eastAsia="仿宋_GB2312"/>
          <w:sz w:val="32"/>
          <w:szCs w:val="32"/>
        </w:rPr>
        <w:t>对评估不合格的国合基地，将给予通报批评并按要求进行整改，</w:t>
      </w:r>
      <w:r>
        <w:rPr>
          <w:rFonts w:eastAsia="仿宋_GB2312"/>
          <w:sz w:val="32"/>
          <w:szCs w:val="32"/>
        </w:rPr>
        <w:t>1</w:t>
      </w:r>
      <w:r>
        <w:rPr>
          <w:rFonts w:eastAsia="仿宋_GB2312"/>
          <w:sz w:val="32"/>
          <w:szCs w:val="32"/>
        </w:rPr>
        <w:t>年后进行复评，复评不合格的国合基地，将取消基地资格。</w:t>
      </w:r>
      <w:r>
        <w:rPr>
          <w:rFonts w:eastAsia="仿宋_GB2312"/>
          <w:kern w:val="0"/>
          <w:sz w:val="32"/>
          <w:szCs w:val="32"/>
        </w:rPr>
        <w:t>无正当理由不参加或中途退出评估工作的国合基地，视为放弃基地资格。被取消或放弃基地资格的单位，三年内不得再次申报国合基地。</w:t>
      </w:r>
    </w:p>
    <w:p w:rsidR="0006045B" w:rsidRDefault="0006045B" w:rsidP="0006045B">
      <w:pPr>
        <w:widowControl/>
        <w:adjustRightInd w:val="0"/>
        <w:snapToGrid w:val="0"/>
        <w:spacing w:line="560" w:lineRule="exact"/>
        <w:ind w:firstLineChars="200" w:firstLine="640"/>
        <w:rPr>
          <w:rFonts w:eastAsia="仿宋_GB2312"/>
          <w:kern w:val="0"/>
          <w:sz w:val="32"/>
          <w:szCs w:val="32"/>
        </w:rPr>
      </w:pPr>
    </w:p>
    <w:p w:rsidR="00B574B5" w:rsidRDefault="00093482" w:rsidP="0081477C">
      <w:pPr>
        <w:widowControl/>
        <w:adjustRightInd w:val="0"/>
        <w:snapToGrid w:val="0"/>
        <w:spacing w:line="560" w:lineRule="exact"/>
        <w:ind w:firstLineChars="200" w:firstLine="643"/>
        <w:jc w:val="center"/>
        <w:rPr>
          <w:rFonts w:eastAsia="仿宋_GB2312"/>
          <w:b/>
          <w:kern w:val="0"/>
          <w:sz w:val="32"/>
          <w:szCs w:val="32"/>
        </w:rPr>
      </w:pPr>
      <w:r>
        <w:rPr>
          <w:rFonts w:eastAsia="仿宋_GB2312"/>
          <w:b/>
          <w:kern w:val="0"/>
          <w:sz w:val="32"/>
          <w:szCs w:val="32"/>
        </w:rPr>
        <w:t>第六章</w:t>
      </w:r>
      <w:r>
        <w:rPr>
          <w:rFonts w:eastAsia="仿宋_GB2312"/>
          <w:b/>
          <w:kern w:val="0"/>
          <w:sz w:val="32"/>
          <w:szCs w:val="32"/>
        </w:rPr>
        <w:t xml:space="preserve">  </w:t>
      </w:r>
      <w:r>
        <w:rPr>
          <w:rFonts w:eastAsia="仿宋_GB2312"/>
          <w:b/>
          <w:kern w:val="0"/>
          <w:sz w:val="32"/>
          <w:szCs w:val="32"/>
        </w:rPr>
        <w:t>附则</w:t>
      </w:r>
    </w:p>
    <w:p w:rsidR="00B574B5" w:rsidRDefault="00093482" w:rsidP="0081477C">
      <w:pPr>
        <w:widowControl/>
        <w:adjustRightInd w:val="0"/>
        <w:snapToGrid w:val="0"/>
        <w:spacing w:line="560" w:lineRule="exact"/>
        <w:ind w:firstLineChars="200" w:firstLine="643"/>
        <w:rPr>
          <w:rFonts w:eastAsia="仿宋_GB2312"/>
          <w:sz w:val="32"/>
          <w:szCs w:val="32"/>
        </w:rPr>
      </w:pPr>
      <w:r>
        <w:rPr>
          <w:rStyle w:val="a8"/>
          <w:rFonts w:eastAsia="仿宋_GB2312"/>
          <w:sz w:val="32"/>
          <w:szCs w:val="32"/>
        </w:rPr>
        <w:t>第十八条</w:t>
      </w:r>
      <w:r>
        <w:rPr>
          <w:rFonts w:eastAsia="仿宋_GB2312"/>
          <w:sz w:val="32"/>
          <w:szCs w:val="32"/>
        </w:rPr>
        <w:tab/>
      </w:r>
      <w:r>
        <w:rPr>
          <w:rFonts w:eastAsia="仿宋_GB2312"/>
          <w:sz w:val="32"/>
          <w:szCs w:val="32"/>
        </w:rPr>
        <w:t>国合基地评估费用由科技厅承担。</w:t>
      </w:r>
    </w:p>
    <w:p w:rsidR="00B574B5" w:rsidRDefault="00093482" w:rsidP="0081477C">
      <w:pPr>
        <w:widowControl/>
        <w:adjustRightInd w:val="0"/>
        <w:snapToGrid w:val="0"/>
        <w:spacing w:line="560" w:lineRule="exact"/>
        <w:ind w:firstLineChars="200" w:firstLine="643"/>
        <w:rPr>
          <w:rFonts w:eastAsia="仿宋_GB2312"/>
          <w:sz w:val="32"/>
          <w:szCs w:val="32"/>
        </w:rPr>
      </w:pPr>
      <w:r>
        <w:rPr>
          <w:rStyle w:val="a8"/>
          <w:rFonts w:eastAsia="仿宋_GB2312"/>
          <w:sz w:val="32"/>
          <w:szCs w:val="32"/>
        </w:rPr>
        <w:lastRenderedPageBreak/>
        <w:t>第十九条</w:t>
      </w:r>
      <w:r>
        <w:rPr>
          <w:rFonts w:eastAsia="仿宋_GB2312"/>
          <w:sz w:val="32"/>
          <w:szCs w:val="32"/>
        </w:rPr>
        <w:tab/>
      </w:r>
      <w:r>
        <w:rPr>
          <w:rFonts w:eastAsia="仿宋_GB2312"/>
          <w:kern w:val="0"/>
          <w:sz w:val="32"/>
          <w:szCs w:val="32"/>
        </w:rPr>
        <w:t>国合基地、工作人员和评估专家要严格遵守保密规定和廉政规定</w:t>
      </w:r>
      <w:r>
        <w:rPr>
          <w:rFonts w:eastAsia="仿宋_GB2312" w:hint="eastAsia"/>
          <w:kern w:val="0"/>
          <w:sz w:val="32"/>
          <w:szCs w:val="32"/>
        </w:rPr>
        <w:t>，对</w:t>
      </w:r>
      <w:r>
        <w:rPr>
          <w:rFonts w:eastAsia="仿宋_GB2312"/>
          <w:kern w:val="0"/>
          <w:sz w:val="32"/>
          <w:szCs w:val="32"/>
        </w:rPr>
        <w:t>违反规定、弄虚作假等行为，视情节轻重，依法依规对相关责任人进行处理。</w:t>
      </w:r>
    </w:p>
    <w:p w:rsidR="00B574B5" w:rsidRDefault="00093482" w:rsidP="0081477C">
      <w:pPr>
        <w:widowControl/>
        <w:adjustRightInd w:val="0"/>
        <w:snapToGrid w:val="0"/>
        <w:spacing w:line="560" w:lineRule="exact"/>
        <w:ind w:firstLineChars="200" w:firstLine="643"/>
        <w:rPr>
          <w:rFonts w:eastAsia="仿宋_GB2312"/>
          <w:sz w:val="32"/>
          <w:szCs w:val="32"/>
        </w:rPr>
      </w:pPr>
      <w:r>
        <w:rPr>
          <w:rStyle w:val="a8"/>
          <w:rFonts w:eastAsia="仿宋_GB2312"/>
          <w:sz w:val="32"/>
          <w:szCs w:val="32"/>
        </w:rPr>
        <w:t>第二十条</w:t>
      </w:r>
      <w:r>
        <w:rPr>
          <w:rFonts w:eastAsia="仿宋_GB2312"/>
          <w:sz w:val="32"/>
          <w:szCs w:val="32"/>
        </w:rPr>
        <w:tab/>
      </w:r>
      <w:r>
        <w:rPr>
          <w:rFonts w:eastAsia="仿宋_GB2312"/>
          <w:sz w:val="32"/>
          <w:szCs w:val="32"/>
        </w:rPr>
        <w:t>各国</w:t>
      </w:r>
      <w:proofErr w:type="gramStart"/>
      <w:r>
        <w:rPr>
          <w:rFonts w:eastAsia="仿宋_GB2312"/>
          <w:sz w:val="32"/>
          <w:szCs w:val="32"/>
        </w:rPr>
        <w:t>合基地</w:t>
      </w:r>
      <w:proofErr w:type="gramEnd"/>
      <w:r>
        <w:rPr>
          <w:rFonts w:eastAsia="仿宋_GB2312"/>
          <w:sz w:val="32"/>
          <w:szCs w:val="32"/>
        </w:rPr>
        <w:t>依托单位、组织推荐部门不得以任何方式影响评估的公正性。评估专家应当严格遵守国家法律、法规和政策，科学、公正、独立地行使职责和权利。</w:t>
      </w:r>
    </w:p>
    <w:p w:rsidR="00B574B5" w:rsidRDefault="00093482" w:rsidP="0081477C">
      <w:pPr>
        <w:widowControl/>
        <w:adjustRightInd w:val="0"/>
        <w:snapToGrid w:val="0"/>
        <w:spacing w:line="560" w:lineRule="exact"/>
        <w:ind w:firstLineChars="200" w:firstLine="643"/>
        <w:rPr>
          <w:rFonts w:eastAsia="仿宋_GB2312"/>
          <w:sz w:val="32"/>
          <w:szCs w:val="32"/>
        </w:rPr>
      </w:pPr>
      <w:r>
        <w:rPr>
          <w:rStyle w:val="a8"/>
          <w:rFonts w:eastAsia="仿宋_GB2312"/>
          <w:sz w:val="32"/>
          <w:szCs w:val="32"/>
        </w:rPr>
        <w:t>第二十一条</w:t>
      </w:r>
      <w:r>
        <w:rPr>
          <w:rFonts w:eastAsia="仿宋_GB2312"/>
          <w:sz w:val="32"/>
          <w:szCs w:val="32"/>
        </w:rPr>
        <w:tab/>
      </w:r>
      <w:r>
        <w:rPr>
          <w:rFonts w:eastAsia="仿宋_GB2312"/>
          <w:sz w:val="32"/>
          <w:szCs w:val="32"/>
        </w:rPr>
        <w:t>本办法自</w:t>
      </w:r>
      <w:r>
        <w:rPr>
          <w:rFonts w:eastAsia="仿宋_GB2312" w:hint="eastAsia"/>
          <w:sz w:val="32"/>
          <w:szCs w:val="32"/>
        </w:rPr>
        <w:t>X</w:t>
      </w:r>
      <w:r>
        <w:rPr>
          <w:rFonts w:eastAsia="仿宋_GB2312" w:hint="eastAsia"/>
          <w:sz w:val="32"/>
          <w:szCs w:val="32"/>
        </w:rPr>
        <w:t>年</w:t>
      </w:r>
      <w:r>
        <w:rPr>
          <w:rFonts w:eastAsia="仿宋_GB2312" w:hint="eastAsia"/>
          <w:sz w:val="32"/>
          <w:szCs w:val="32"/>
        </w:rPr>
        <w:t>X</w:t>
      </w:r>
      <w:r>
        <w:rPr>
          <w:rFonts w:eastAsia="仿宋_GB2312" w:hint="eastAsia"/>
          <w:sz w:val="32"/>
          <w:szCs w:val="32"/>
        </w:rPr>
        <w:t>月</w:t>
      </w:r>
      <w:r>
        <w:rPr>
          <w:rFonts w:eastAsia="仿宋_GB2312" w:hint="eastAsia"/>
          <w:sz w:val="32"/>
          <w:szCs w:val="32"/>
        </w:rPr>
        <w:t>X</w:t>
      </w:r>
      <w:r>
        <w:rPr>
          <w:rFonts w:eastAsia="仿宋_GB2312" w:hint="eastAsia"/>
          <w:sz w:val="32"/>
          <w:szCs w:val="32"/>
        </w:rPr>
        <w:t>日起</w:t>
      </w:r>
      <w:r>
        <w:rPr>
          <w:rFonts w:eastAsia="仿宋_GB2312"/>
          <w:sz w:val="32"/>
          <w:szCs w:val="32"/>
        </w:rPr>
        <w:t>施行</w:t>
      </w:r>
      <w:r>
        <w:rPr>
          <w:rFonts w:eastAsia="仿宋_GB2312" w:hint="eastAsia"/>
          <w:sz w:val="32"/>
          <w:szCs w:val="32"/>
        </w:rPr>
        <w:t>，有效期</w:t>
      </w:r>
      <w:r>
        <w:rPr>
          <w:rFonts w:eastAsia="仿宋_GB2312" w:hint="eastAsia"/>
          <w:sz w:val="32"/>
          <w:szCs w:val="32"/>
        </w:rPr>
        <w:t>5</w:t>
      </w:r>
      <w:r>
        <w:rPr>
          <w:rFonts w:eastAsia="仿宋_GB2312" w:hint="eastAsia"/>
          <w:sz w:val="32"/>
          <w:szCs w:val="32"/>
        </w:rPr>
        <w:t>年</w:t>
      </w:r>
      <w:r>
        <w:rPr>
          <w:rFonts w:eastAsia="仿宋_GB2312" w:hint="eastAsia"/>
          <w:sz w:val="32"/>
          <w:szCs w:val="32"/>
        </w:rPr>
        <w:t>。</w:t>
      </w:r>
    </w:p>
    <w:p w:rsidR="00B574B5" w:rsidRDefault="00B574B5">
      <w:pPr>
        <w:spacing w:line="560" w:lineRule="exact"/>
        <w:ind w:firstLineChars="200" w:firstLine="640"/>
        <w:rPr>
          <w:rFonts w:eastAsia="仿宋_GB2312"/>
          <w:color w:val="000000"/>
          <w:sz w:val="32"/>
          <w:szCs w:val="32"/>
        </w:rPr>
      </w:pPr>
    </w:p>
    <w:sectPr w:rsidR="00B574B5" w:rsidSect="00D676C9">
      <w:footerReference w:type="default" r:id="rId9"/>
      <w:footerReference w:type="first" r:id="rId10"/>
      <w:pgSz w:w="11906" w:h="16838"/>
      <w:pgMar w:top="1928" w:right="1576" w:bottom="1985" w:left="1576" w:header="851" w:footer="992" w:gutter="0"/>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3482">
      <w:r>
        <w:separator/>
      </w:r>
    </w:p>
  </w:endnote>
  <w:endnote w:type="continuationSeparator" w:id="0">
    <w:p w:rsidR="00000000" w:rsidRDefault="0009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B5" w:rsidRDefault="00093482">
    <w:pPr>
      <w:pStyle w:val="a4"/>
    </w:pPr>
    <w:r>
      <w:rPr>
        <w:noProof/>
      </w:rPr>
      <mc:AlternateContent>
        <mc:Choice Requires="wps">
          <w:drawing>
            <wp:anchor distT="0" distB="0" distL="0" distR="0" simplePos="0" relativeHeight="7" behindDoc="0" locked="0" layoutInCell="1" allowOverlap="1" wp14:anchorId="69649361" wp14:editId="5276DFBB">
              <wp:simplePos x="0" y="0"/>
              <wp:positionH relativeFrom="margin">
                <wp:align>center</wp:align>
              </wp:positionH>
              <wp:positionV relativeFrom="paragraph">
                <wp:posOffset>0</wp:posOffset>
              </wp:positionV>
              <wp:extent cx="1828800" cy="1828800"/>
              <wp:effectExtent l="0" t="0" r="0" b="0"/>
              <wp:wrapNone/>
              <wp:docPr id="410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B574B5" w:rsidRDefault="00093482">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vert="horz" wrap="none" lIns="0" tIns="0" rIns="0" bIns="0" anchor="t">
                      <a:prstTxWarp prst="textNoShape">
                        <a:avLst/>
                      </a:prstTxWarp>
                      <a:spAutoFit/>
                    </wps:bodyPr>
                  </wps:wsp>
                </a:graphicData>
              </a:graphic>
            </wp:anchor>
          </w:drawing>
        </mc:Choice>
        <mc:Fallback>
          <w:pict>
            <v:rect id="文本框 3" o:spid="_x0000_s1026" style="position:absolute;margin-left:0;margin-top:0;width:2in;height:2in;z-index:7;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" filled="f" stroked="f">
              <v:path arrowok="t"/>
              <v:textbox style="mso-fit-shape-to-text:t" inset="0,0,0,0">
                <w:txbxContent>
                  <w:p w:rsidR="00B574B5" w:rsidRDefault="00093482">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rect>
          </w:pict>
        </mc:Fallback>
      </mc:AlternateContent>
    </w:r>
    <w:r>
      <w:rPr>
        <w:noProof/>
      </w:rPr>
      <mc:AlternateContent>
        <mc:Choice Requires="wps">
          <w:drawing>
            <wp:anchor distT="0" distB="0" distL="0" distR="0" simplePos="0" relativeHeight="5" behindDoc="0" locked="0" layoutInCell="1" allowOverlap="1" wp14:anchorId="3571ED90" wp14:editId="6EB384FA">
              <wp:simplePos x="0" y="0"/>
              <wp:positionH relativeFrom="margin">
                <wp:align>center</wp:align>
              </wp:positionH>
              <wp:positionV relativeFrom="paragraph">
                <wp:posOffset>-334010</wp:posOffset>
              </wp:positionV>
              <wp:extent cx="733425" cy="554355"/>
              <wp:effectExtent l="0" t="0" r="0" b="0"/>
              <wp:wrapNone/>
              <wp:docPr id="410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554355"/>
                      </a:xfrm>
                      <a:prstGeom prst="rect">
                        <a:avLst/>
                      </a:prstGeom>
                      <a:ln>
                        <a:noFill/>
                      </a:ln>
                    </wps:spPr>
                    <wps:txbx>
                      <w:txbxContent>
                        <w:p w:rsidR="00B574B5" w:rsidRDefault="00B574B5"/>
                      </w:txbxContent>
                    </wps:txbx>
                    <wps:bodyPr vert="horz" wrap="square" lIns="0" tIns="0" rIns="0" bIns="0" anchor="t">
                      <a:prstTxWarp prst="textNoShape">
                        <a:avLst/>
                      </a:prstTxWarp>
                      <a:noAutofit/>
                    </wps:bodyPr>
                  </wps:wsp>
                </a:graphicData>
              </a:graphic>
            </wp:anchor>
          </w:drawing>
        </mc:Choice>
        <mc:Fallback>
          <w:pict>
            <v:rect id="文本框 5" o:spid="_x0000_s1027" style="position:absolute;margin-left:0;margin-top:-26.3pt;width:57.75pt;height:43.65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" filled="f" stroked="f">
              <v:path arrowok="t"/>
              <v:textbox inset="0,0,0,0">
                <w:txbxContent>
                  <w:p w:rsidR="00B574B5" w:rsidRDefault="00B574B5"/>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B5" w:rsidRDefault="00093482">
    <w:pPr>
      <w:pStyle w:val="a4"/>
    </w:pPr>
    <w:r>
      <w:rPr>
        <w:noProof/>
      </w:rPr>
      <mc:AlternateContent>
        <mc:Choice Requires="wps">
          <w:drawing>
            <wp:anchor distT="0" distB="0" distL="0" distR="0" simplePos="0" relativeHeight="8" behindDoc="0" locked="0" layoutInCell="1" allowOverlap="1" wp14:anchorId="78015896" wp14:editId="66B076BD">
              <wp:simplePos x="0" y="0"/>
              <wp:positionH relativeFrom="margin">
                <wp:align>center</wp:align>
              </wp:positionH>
              <wp:positionV relativeFrom="paragraph">
                <wp:posOffset>0</wp:posOffset>
              </wp:positionV>
              <wp:extent cx="1828800" cy="1828800"/>
              <wp:effectExtent l="0" t="0" r="0" b="0"/>
              <wp:wrapNone/>
              <wp:docPr id="4103"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B574B5" w:rsidRDefault="00093482">
                          <w:pPr>
                            <w:pStyle w:val="a4"/>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vert="horz" wrap="none" lIns="0" tIns="0" rIns="0" bIns="0" anchor="t">
                      <a:prstTxWarp prst="textNoShape">
                        <a:avLst/>
                      </a:prstTxWarp>
                      <a:spAutoFit/>
                    </wps:bodyPr>
                  </wps:wsp>
                </a:graphicData>
              </a:graphic>
            </wp:anchor>
          </w:drawing>
        </mc:Choice>
        <mc:Fallback>
          <w:pict>
            <v:rect id="文本框 7" o:spid="_x0000_s1028" style="position:absolute;margin-left:0;margin-top:0;width:2in;height:2in;z-index: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" filled="f" stroked="f">
              <v:path arrowok="t"/>
              <v:textbox style="mso-fit-shape-to-text:t" inset="0,0,0,0">
                <w:txbxContent>
                  <w:p w:rsidR="00B574B5" w:rsidRDefault="00093482">
                    <w:pPr>
                      <w:pStyle w:val="a4"/>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3482">
      <w:r>
        <w:separator/>
      </w:r>
    </w:p>
  </w:footnote>
  <w:footnote w:type="continuationSeparator" w:id="0">
    <w:p w:rsidR="00000000" w:rsidRDefault="00093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1C730F81"/>
    <w:lvl w:ilvl="0">
      <w:start w:val="5"/>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B5"/>
    <w:rsid w:val="0006045B"/>
    <w:rsid w:val="00093482"/>
    <w:rsid w:val="0081477C"/>
    <w:rsid w:val="00A43D8B"/>
    <w:rsid w:val="00B574B5"/>
    <w:rsid w:val="00D676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spacing w:beforeAutospacing="1"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qFormat/>
    <w:rPr>
      <w:b/>
      <w:bCs/>
    </w:rPr>
  </w:style>
  <w:style w:type="character" w:styleId="a9">
    <w:name w:val="Hyperlink"/>
    <w:basedOn w:val="a0"/>
    <w:uiPriority w:val="99"/>
    <w:qFormat/>
    <w:rPr>
      <w:color w:val="0000FF"/>
      <w:u w:val="singl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61">
    <w:name w:val="font61"/>
    <w:basedOn w:val="a0"/>
    <w:qFormat/>
    <w:rPr>
      <w:rFonts w:ascii="Times New Roman" w:hAnsi="Times New Roman" w:cs="Times New Roman" w:hint="default"/>
      <w:color w:val="000000"/>
      <w:sz w:val="22"/>
      <w:szCs w:val="22"/>
      <w:u w:val="none"/>
    </w:rPr>
  </w:style>
  <w:style w:type="character" w:customStyle="1" w:styleId="font41">
    <w:name w:val="font41"/>
    <w:basedOn w:val="a0"/>
    <w:qFormat/>
    <w:rPr>
      <w:rFonts w:ascii="宋体" w:eastAsia="宋体" w:hAnsi="宋体" w:cs="宋体" w:hint="eastAsia"/>
      <w:b/>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51">
    <w:name w:val="font51"/>
    <w:basedOn w:val="a0"/>
    <w:qFormat/>
    <w:rPr>
      <w:rFonts w:ascii="仿宋_GB2312" w:eastAsia="仿宋_GB2312" w:cs="仿宋_GB2312"/>
      <w:color w:val="000000"/>
      <w:sz w:val="22"/>
      <w:szCs w:val="22"/>
      <w:u w:val="none"/>
    </w:rPr>
  </w:style>
  <w:style w:type="character" w:customStyle="1" w:styleId="font71">
    <w:name w:val="font71"/>
    <w:basedOn w:val="a0"/>
    <w:qFormat/>
    <w:rPr>
      <w:rFonts w:ascii="Times New Roman" w:hAnsi="Times New Roman" w:cs="Times New Roman" w:hint="default"/>
      <w:color w:val="000000"/>
      <w:sz w:val="21"/>
      <w:szCs w:val="21"/>
      <w:u w:val="none"/>
    </w:rPr>
  </w:style>
  <w:style w:type="character" w:customStyle="1" w:styleId="font101">
    <w:name w:val="font101"/>
    <w:basedOn w:val="a0"/>
    <w:qFormat/>
    <w:rPr>
      <w:rFonts w:ascii="Times New Roman" w:hAnsi="Times New Roman" w:cs="Times New Roman" w:hint="default"/>
      <w:color w:val="000000"/>
      <w:sz w:val="22"/>
      <w:szCs w:val="22"/>
      <w:u w:val="none"/>
    </w:rPr>
  </w:style>
  <w:style w:type="character" w:customStyle="1" w:styleId="font12">
    <w:name w:val="font12"/>
    <w:basedOn w:val="a0"/>
    <w:qFormat/>
    <w:rPr>
      <w:rFonts w:ascii="宋体" w:eastAsia="宋体" w:hAnsi="宋体" w:cs="宋体" w:hint="eastAsia"/>
      <w:color w:val="333333"/>
      <w:sz w:val="21"/>
      <w:szCs w:val="21"/>
      <w:u w:val="none"/>
    </w:rPr>
  </w:style>
  <w:style w:type="character" w:customStyle="1" w:styleId="font122">
    <w:name w:val="font122"/>
    <w:basedOn w:val="a0"/>
    <w:qFormat/>
    <w:rPr>
      <w:rFonts w:ascii="仿宋_GB2312" w:eastAsia="仿宋_GB2312" w:cs="仿宋_GB2312" w:hint="eastAsia"/>
      <w:color w:val="000000"/>
      <w:sz w:val="22"/>
      <w:szCs w:val="22"/>
      <w:u w:val="none"/>
    </w:rPr>
  </w:style>
  <w:style w:type="character" w:customStyle="1" w:styleId="Char">
    <w:name w:val="批注框文本 Char"/>
    <w:basedOn w:val="a0"/>
    <w:link w:val="a3"/>
    <w:qFormat/>
    <w:rPr>
      <w:kern w:val="2"/>
      <w:sz w:val="18"/>
      <w:szCs w:val="18"/>
    </w:rPr>
  </w:style>
  <w:style w:type="character" w:customStyle="1" w:styleId="Char0">
    <w:name w:val="页脚 Char"/>
    <w:basedOn w:val="a0"/>
    <w:link w:val="a4"/>
    <w:uiPriority w:val="99"/>
    <w:qFormat/>
    <w:rPr>
      <w:kern w:val="2"/>
      <w:sz w:val="18"/>
      <w:szCs w:val="18"/>
    </w:rPr>
  </w:style>
  <w:style w:type="paragraph" w:styleId="aa">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spacing w:beforeAutospacing="1"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qFormat/>
    <w:rPr>
      <w:b/>
      <w:bCs/>
    </w:rPr>
  </w:style>
  <w:style w:type="character" w:styleId="a9">
    <w:name w:val="Hyperlink"/>
    <w:basedOn w:val="a0"/>
    <w:uiPriority w:val="99"/>
    <w:qFormat/>
    <w:rPr>
      <w:color w:val="0000FF"/>
      <w:u w:val="singl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61">
    <w:name w:val="font61"/>
    <w:basedOn w:val="a0"/>
    <w:qFormat/>
    <w:rPr>
      <w:rFonts w:ascii="Times New Roman" w:hAnsi="Times New Roman" w:cs="Times New Roman" w:hint="default"/>
      <w:color w:val="000000"/>
      <w:sz w:val="22"/>
      <w:szCs w:val="22"/>
      <w:u w:val="none"/>
    </w:rPr>
  </w:style>
  <w:style w:type="character" w:customStyle="1" w:styleId="font41">
    <w:name w:val="font41"/>
    <w:basedOn w:val="a0"/>
    <w:qFormat/>
    <w:rPr>
      <w:rFonts w:ascii="宋体" w:eastAsia="宋体" w:hAnsi="宋体" w:cs="宋体" w:hint="eastAsia"/>
      <w:b/>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51">
    <w:name w:val="font51"/>
    <w:basedOn w:val="a0"/>
    <w:qFormat/>
    <w:rPr>
      <w:rFonts w:ascii="仿宋_GB2312" w:eastAsia="仿宋_GB2312" w:cs="仿宋_GB2312"/>
      <w:color w:val="000000"/>
      <w:sz w:val="22"/>
      <w:szCs w:val="22"/>
      <w:u w:val="none"/>
    </w:rPr>
  </w:style>
  <w:style w:type="character" w:customStyle="1" w:styleId="font71">
    <w:name w:val="font71"/>
    <w:basedOn w:val="a0"/>
    <w:qFormat/>
    <w:rPr>
      <w:rFonts w:ascii="Times New Roman" w:hAnsi="Times New Roman" w:cs="Times New Roman" w:hint="default"/>
      <w:color w:val="000000"/>
      <w:sz w:val="21"/>
      <w:szCs w:val="21"/>
      <w:u w:val="none"/>
    </w:rPr>
  </w:style>
  <w:style w:type="character" w:customStyle="1" w:styleId="font101">
    <w:name w:val="font101"/>
    <w:basedOn w:val="a0"/>
    <w:qFormat/>
    <w:rPr>
      <w:rFonts w:ascii="Times New Roman" w:hAnsi="Times New Roman" w:cs="Times New Roman" w:hint="default"/>
      <w:color w:val="000000"/>
      <w:sz w:val="22"/>
      <w:szCs w:val="22"/>
      <w:u w:val="none"/>
    </w:rPr>
  </w:style>
  <w:style w:type="character" w:customStyle="1" w:styleId="font12">
    <w:name w:val="font12"/>
    <w:basedOn w:val="a0"/>
    <w:qFormat/>
    <w:rPr>
      <w:rFonts w:ascii="宋体" w:eastAsia="宋体" w:hAnsi="宋体" w:cs="宋体" w:hint="eastAsia"/>
      <w:color w:val="333333"/>
      <w:sz w:val="21"/>
      <w:szCs w:val="21"/>
      <w:u w:val="none"/>
    </w:rPr>
  </w:style>
  <w:style w:type="character" w:customStyle="1" w:styleId="font122">
    <w:name w:val="font122"/>
    <w:basedOn w:val="a0"/>
    <w:qFormat/>
    <w:rPr>
      <w:rFonts w:ascii="仿宋_GB2312" w:eastAsia="仿宋_GB2312" w:cs="仿宋_GB2312" w:hint="eastAsia"/>
      <w:color w:val="000000"/>
      <w:sz w:val="22"/>
      <w:szCs w:val="22"/>
      <w:u w:val="none"/>
    </w:rPr>
  </w:style>
  <w:style w:type="character" w:customStyle="1" w:styleId="Char">
    <w:name w:val="批注框文本 Char"/>
    <w:basedOn w:val="a0"/>
    <w:link w:val="a3"/>
    <w:qFormat/>
    <w:rPr>
      <w:kern w:val="2"/>
      <w:sz w:val="18"/>
      <w:szCs w:val="18"/>
    </w:rPr>
  </w:style>
  <w:style w:type="character" w:customStyle="1" w:styleId="Char0">
    <w:name w:val="页脚 Char"/>
    <w:basedOn w:val="a0"/>
    <w:link w:val="a4"/>
    <w:uiPriority w:val="99"/>
    <w:qFormat/>
    <w:rPr>
      <w:kern w:val="2"/>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1995</Words>
  <Characters>102</Characters>
  <Application>Microsoft Office Word</Application>
  <DocSecurity>0</DocSecurity>
  <Lines>5</Lines>
  <Paragraphs>43</Paragraphs>
  <ScaleCrop>false</ScaleCrop>
  <Company>lenovo</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bgszy</cp:lastModifiedBy>
  <cp:revision>8</cp:revision>
  <cp:lastPrinted>2021-04-28T14:41:00Z</cp:lastPrinted>
  <dcterms:created xsi:type="dcterms:W3CDTF">2021-04-28T08:58:00Z</dcterms:created>
  <dcterms:modified xsi:type="dcterms:W3CDTF">2021-04-28T09:02:00Z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6266fc5745b9418d80568e5fcb1f337c</vt:lpwstr>
  </property>
</Properties>
</file>