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olor w:val="auto"/>
          <w:sz w:val="44"/>
          <w:szCs w:val="44"/>
          <w:u w:val="none"/>
        </w:rPr>
      </w:pPr>
      <w:r>
        <w:rPr>
          <w:rFonts w:eastAsia="方正小标宋_GBK"/>
          <w:color w:val="auto"/>
          <w:sz w:val="44"/>
          <w:szCs w:val="44"/>
          <w:u w:val="none"/>
        </w:rPr>
        <w:t>四川省科技</w:t>
      </w:r>
      <w:r>
        <w:rPr>
          <w:rFonts w:hint="eastAsia" w:eastAsia="方正小标宋_GBK"/>
          <w:color w:val="auto"/>
          <w:sz w:val="44"/>
          <w:szCs w:val="44"/>
          <w:u w:val="none"/>
          <w:lang w:eastAsia="zh-CN"/>
        </w:rPr>
        <w:t>项目</w:t>
      </w:r>
      <w:r>
        <w:rPr>
          <w:rFonts w:eastAsia="方正小标宋_GBK"/>
          <w:color w:val="auto"/>
          <w:sz w:val="44"/>
          <w:szCs w:val="44"/>
          <w:u w:val="none"/>
        </w:rPr>
        <w:t>专家库管理办法</w:t>
      </w:r>
    </w:p>
    <w:p>
      <w:pPr>
        <w:adjustRightInd w:val="0"/>
        <w:snapToGrid w:val="0"/>
        <w:spacing w:line="600" w:lineRule="exact"/>
        <w:jc w:val="center"/>
        <w:rPr>
          <w:rFonts w:eastAsia="方正小标宋_GBK"/>
          <w:color w:val="auto"/>
          <w:sz w:val="44"/>
          <w:szCs w:val="44"/>
          <w:u w:val="none"/>
        </w:rPr>
      </w:pPr>
      <w:r>
        <w:rPr>
          <w:rFonts w:hint="eastAsia" w:ascii="楷体_GB2312" w:eastAsia="楷体_GB2312"/>
          <w:kern w:val="0"/>
          <w:szCs w:val="32"/>
        </w:rPr>
        <w:t>（征求意见稿）</w:t>
      </w:r>
      <w:bookmarkStart w:id="0" w:name="_GoBack"/>
      <w:bookmarkEnd w:id="0"/>
    </w:p>
    <w:p>
      <w:pPr>
        <w:spacing w:line="580" w:lineRule="exact"/>
        <w:jc w:val="center"/>
        <w:rPr>
          <w:rFonts w:eastAsia="楷体_GB2312"/>
          <w:color w:val="auto"/>
          <w:szCs w:val="32"/>
          <w:u w:val="none"/>
        </w:rPr>
      </w:pPr>
    </w:p>
    <w:p>
      <w:pPr>
        <w:adjustRightInd w:val="0"/>
        <w:snapToGrid w:val="0"/>
        <w:spacing w:line="560" w:lineRule="exact"/>
        <w:jc w:val="center"/>
        <w:rPr>
          <w:rFonts w:eastAsia="黑体"/>
          <w:color w:val="auto"/>
          <w:szCs w:val="32"/>
          <w:u w:val="none"/>
        </w:rPr>
      </w:pPr>
      <w:r>
        <w:rPr>
          <w:rFonts w:eastAsia="黑体"/>
          <w:color w:val="auto"/>
          <w:szCs w:val="32"/>
          <w:u w:val="none"/>
        </w:rPr>
        <w:t>第一章  总  则</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第一条</w:t>
      </w:r>
      <w:r>
        <w:rPr>
          <w:rFonts w:eastAsia="仿宋_GB2312"/>
          <w:color w:val="auto"/>
          <w:szCs w:val="32"/>
          <w:u w:val="none"/>
        </w:rPr>
        <w:t xml:space="preserve">  按照《四川省深化省级财政科技计划管理改革方案》（川府发〔2017〕5号）、《四川省人民政府办公厅关于印发四川省深化科研项目评审改革实施方案等三个专项改革方案的通知》（川办发〔2019〕61号）要求，进一步深化科技管理改革，推进四川省科技专家库（以下简称</w:t>
      </w:r>
      <w:r>
        <w:rPr>
          <w:rFonts w:hint="eastAsia" w:eastAsia="仿宋_GB2312"/>
          <w:color w:val="auto"/>
          <w:szCs w:val="32"/>
          <w:u w:val="none"/>
        </w:rPr>
        <w:t>“</w:t>
      </w:r>
      <w:r>
        <w:rPr>
          <w:rFonts w:eastAsia="仿宋_GB2312"/>
          <w:color w:val="auto"/>
          <w:szCs w:val="32"/>
          <w:u w:val="none"/>
        </w:rPr>
        <w:t>专家库</w:t>
      </w:r>
      <w:r>
        <w:rPr>
          <w:rFonts w:hint="eastAsia" w:eastAsia="仿宋_GB2312"/>
          <w:color w:val="auto"/>
          <w:szCs w:val="32"/>
          <w:u w:val="none"/>
        </w:rPr>
        <w:t>”</w:t>
      </w:r>
      <w:r>
        <w:rPr>
          <w:rFonts w:eastAsia="仿宋_GB2312"/>
          <w:color w:val="auto"/>
          <w:szCs w:val="32"/>
          <w:u w:val="none"/>
        </w:rPr>
        <w:t>）建设，规范专家库管理，充分发挥专家在科技活动中的咨询作用，提高决策的科学化和民主化水平，特制订本办法。</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第二条</w:t>
      </w:r>
      <w:r>
        <w:rPr>
          <w:rFonts w:eastAsia="仿宋_GB2312"/>
          <w:color w:val="auto"/>
          <w:szCs w:val="32"/>
          <w:u w:val="none"/>
        </w:rPr>
        <w:t xml:space="preserve">  专家库是四川省科技管理信息系统（以下简称“信息系统”）的重要组成部分。专家库专家参与我省科技项目评审评估、验收、绩效评价等科技活动。</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第三条</w:t>
      </w:r>
      <w:r>
        <w:rPr>
          <w:rFonts w:eastAsia="仿宋_GB2312"/>
          <w:color w:val="auto"/>
          <w:szCs w:val="32"/>
          <w:u w:val="none"/>
        </w:rPr>
        <w:t xml:space="preserve">  四川省科学技术厅（以下简称“科技厅”）是专家库的管理部门，负责专家库建设的总体部署和统筹协调，研究制定相关政策和管理制度。</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第四条</w:t>
      </w:r>
      <w:r>
        <w:rPr>
          <w:rFonts w:eastAsia="仿宋_GB2312"/>
          <w:color w:val="auto"/>
          <w:szCs w:val="32"/>
          <w:u w:val="none"/>
        </w:rPr>
        <w:t xml:space="preserve">  专家库建设遵循广泛征集、择优遴选、科学分级、动态管理、规范使用的原则建设和运行。</w:t>
      </w:r>
    </w:p>
    <w:p>
      <w:pPr>
        <w:adjustRightInd w:val="0"/>
        <w:snapToGrid w:val="0"/>
        <w:spacing w:line="560" w:lineRule="exact"/>
        <w:ind w:firstLine="632" w:firstLineChars="200"/>
        <w:rPr>
          <w:color w:val="auto"/>
          <w:szCs w:val="32"/>
          <w:u w:val="none"/>
        </w:rPr>
      </w:pPr>
    </w:p>
    <w:p>
      <w:pPr>
        <w:adjustRightInd w:val="0"/>
        <w:snapToGrid w:val="0"/>
        <w:spacing w:line="560" w:lineRule="exact"/>
        <w:jc w:val="center"/>
        <w:rPr>
          <w:rFonts w:eastAsia="黑体"/>
          <w:color w:val="auto"/>
          <w:szCs w:val="32"/>
          <w:u w:val="none"/>
        </w:rPr>
      </w:pPr>
      <w:r>
        <w:rPr>
          <w:rFonts w:eastAsia="黑体"/>
          <w:color w:val="auto"/>
          <w:szCs w:val="32"/>
          <w:u w:val="none"/>
        </w:rPr>
        <w:t>第二章  专家库建设</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第五条</w:t>
      </w:r>
      <w:r>
        <w:rPr>
          <w:rFonts w:eastAsia="仿宋_GB2312"/>
          <w:color w:val="auto"/>
          <w:szCs w:val="32"/>
          <w:u w:val="none"/>
        </w:rPr>
        <w:t xml:space="preserve">  由科技厅</w:t>
      </w:r>
      <w:r>
        <w:rPr>
          <w:rFonts w:hint="eastAsia" w:eastAsia="仿宋_GB2312"/>
          <w:color w:val="auto"/>
          <w:szCs w:val="32"/>
          <w:u w:val="none"/>
          <w:lang w:eastAsia="zh-CN"/>
        </w:rPr>
        <w:t>委托四川省计算机研究院</w:t>
      </w:r>
      <w:r>
        <w:rPr>
          <w:rFonts w:eastAsia="仿宋_GB2312"/>
          <w:color w:val="auto"/>
          <w:szCs w:val="32"/>
          <w:u w:val="none"/>
        </w:rPr>
        <w:t>负责开展专家库建设、运行维护、开发利用等相关工作，确保专家库网络安全和技术支撑。</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第六条</w:t>
      </w:r>
      <w:r>
        <w:rPr>
          <w:rFonts w:eastAsia="仿宋_GB2312"/>
          <w:color w:val="auto"/>
          <w:szCs w:val="32"/>
          <w:u w:val="none"/>
        </w:rPr>
        <w:t xml:space="preserve">  专家库专家主要从高等院校、科研机构、事业单位</w:t>
      </w:r>
      <w:r>
        <w:rPr>
          <w:rFonts w:hint="eastAsia" w:eastAsia="仿宋_GB2312"/>
          <w:color w:val="auto"/>
          <w:szCs w:val="32"/>
          <w:u w:val="none"/>
        </w:rPr>
        <w:t>、</w:t>
      </w:r>
      <w:r>
        <w:rPr>
          <w:rFonts w:eastAsia="仿宋_GB2312"/>
          <w:color w:val="auto"/>
          <w:szCs w:val="32"/>
          <w:u w:val="none"/>
        </w:rPr>
        <w:t>企业</w:t>
      </w:r>
      <w:r>
        <w:rPr>
          <w:rFonts w:hint="eastAsia" w:eastAsia="仿宋_GB2312"/>
          <w:color w:val="auto"/>
          <w:szCs w:val="32"/>
          <w:u w:val="none"/>
        </w:rPr>
        <w:t>等单位中</w:t>
      </w:r>
      <w:r>
        <w:rPr>
          <w:rFonts w:eastAsia="仿宋_GB2312"/>
          <w:color w:val="auto"/>
          <w:szCs w:val="32"/>
          <w:u w:val="none"/>
        </w:rPr>
        <w:t>具有较强的理论和专业知识以及丰富实践经验的专业人员中选取。</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第七条</w:t>
      </w:r>
      <w:r>
        <w:rPr>
          <w:rFonts w:eastAsia="仿宋_GB2312"/>
          <w:color w:val="auto"/>
          <w:szCs w:val="32"/>
          <w:u w:val="none"/>
        </w:rPr>
        <w:t xml:space="preserve">  专家入库基本条件</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（一）公正诚信，廉洁自律；工作责任心强，能够以严谨的科学精神，客观、公正、实事求是地开展各项评审评</w:t>
      </w:r>
      <w:r>
        <w:rPr>
          <w:rFonts w:hint="eastAsia" w:eastAsia="仿宋_GB2312"/>
          <w:color w:val="auto"/>
          <w:szCs w:val="32"/>
          <w:u w:val="none"/>
        </w:rPr>
        <w:t>估</w:t>
      </w:r>
      <w:r>
        <w:rPr>
          <w:rFonts w:eastAsia="仿宋_GB2312"/>
          <w:color w:val="auto"/>
          <w:szCs w:val="32"/>
          <w:u w:val="none"/>
        </w:rPr>
        <w:t>工作；无学术道德问题，无科研失信、违纪违法等不良记录。</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（二）具有较高的专业学术水平和较强的分析判断能力，熟悉相关领域或行业的研发、成果转化及国内外科技创新与产业发展、经济发展动态，熟悉创新创业相关法律法规、政策、规范制度等。</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（三）身体健康，能独立完成评审</w:t>
      </w:r>
      <w:r>
        <w:rPr>
          <w:rFonts w:hint="eastAsia" w:eastAsia="仿宋_GB2312"/>
          <w:color w:val="auto"/>
          <w:szCs w:val="32"/>
          <w:u w:val="none"/>
        </w:rPr>
        <w:t>评估</w:t>
      </w:r>
      <w:r>
        <w:rPr>
          <w:rFonts w:eastAsia="仿宋_GB2312"/>
          <w:color w:val="auto"/>
          <w:szCs w:val="32"/>
          <w:u w:val="none"/>
        </w:rPr>
        <w:t>等工作。</w:t>
      </w:r>
    </w:p>
    <w:p>
      <w:pPr>
        <w:adjustRightInd w:val="0"/>
        <w:snapToGrid w:val="0"/>
        <w:spacing w:line="560" w:lineRule="exact"/>
        <w:ind w:firstLine="632" w:firstLineChars="200"/>
        <w:rPr>
          <w:rFonts w:hint="eastAsia" w:eastAsia="仿宋_GB2312"/>
          <w:color w:val="auto"/>
          <w:szCs w:val="32"/>
          <w:u w:val="none"/>
          <w:lang w:eastAsia="zh-CN"/>
        </w:rPr>
      </w:pPr>
      <w:r>
        <w:rPr>
          <w:rFonts w:eastAsia="仿宋_GB2312"/>
          <w:b/>
          <w:color w:val="auto"/>
          <w:szCs w:val="32"/>
          <w:u w:val="none"/>
        </w:rPr>
        <w:t>第八条</w:t>
      </w:r>
      <w:r>
        <w:rPr>
          <w:rFonts w:eastAsia="仿宋_GB2312"/>
          <w:color w:val="auto"/>
          <w:szCs w:val="32"/>
          <w:u w:val="none"/>
        </w:rPr>
        <w:t xml:space="preserve">  专家分类。入库专家分为技术专家、管理专家、财务专家。</w:t>
      </w:r>
      <w:r>
        <w:rPr>
          <w:rFonts w:hint="eastAsia" w:eastAsia="仿宋_GB2312"/>
          <w:color w:val="auto"/>
          <w:szCs w:val="32"/>
          <w:u w:val="none"/>
          <w:lang w:eastAsia="zh-CN"/>
        </w:rPr>
        <w:t>需满足以下条件之一：</w:t>
      </w:r>
    </w:p>
    <w:p>
      <w:pPr>
        <w:adjustRightInd w:val="0"/>
        <w:snapToGrid w:val="0"/>
        <w:spacing w:line="560" w:lineRule="exact"/>
        <w:ind w:firstLine="632" w:firstLineChars="200"/>
        <w:rPr>
          <w:rFonts w:eastAsia="仿宋_GB2312"/>
          <w:color w:val="auto"/>
          <w:szCs w:val="32"/>
          <w:u w:val="none"/>
        </w:rPr>
      </w:pPr>
      <w:r>
        <w:rPr>
          <w:rFonts w:hint="eastAsia" w:eastAsia="仿宋_GB2312"/>
          <w:color w:val="auto"/>
          <w:szCs w:val="32"/>
          <w:u w:val="none"/>
        </w:rPr>
        <w:t>1.技术专家。</w:t>
      </w:r>
    </w:p>
    <w:p>
      <w:pPr>
        <w:adjustRightInd w:val="0"/>
        <w:snapToGrid w:val="0"/>
        <w:spacing w:line="560" w:lineRule="exact"/>
        <w:ind w:firstLine="632" w:firstLineChars="200"/>
        <w:rPr>
          <w:rFonts w:eastAsia="仿宋_GB2312"/>
          <w:color w:val="auto"/>
          <w:szCs w:val="32"/>
          <w:u w:val="none"/>
        </w:rPr>
      </w:pPr>
      <w:r>
        <w:rPr>
          <w:rFonts w:hint="eastAsia" w:eastAsia="仿宋_GB2312"/>
          <w:color w:val="auto"/>
          <w:szCs w:val="32"/>
          <w:u w:val="none"/>
        </w:rPr>
        <w:t>（</w:t>
      </w:r>
      <w:r>
        <w:rPr>
          <w:rFonts w:eastAsia="仿宋_GB2312"/>
          <w:color w:val="auto"/>
          <w:szCs w:val="32"/>
          <w:u w:val="none"/>
        </w:rPr>
        <w:t>1</w:t>
      </w:r>
      <w:r>
        <w:rPr>
          <w:rFonts w:hint="eastAsia" w:eastAsia="仿宋_GB2312"/>
          <w:color w:val="auto"/>
          <w:szCs w:val="32"/>
          <w:u w:val="none"/>
        </w:rPr>
        <w:t>）</w:t>
      </w:r>
      <w:r>
        <w:rPr>
          <w:rFonts w:eastAsia="仿宋_GB2312"/>
          <w:color w:val="auto"/>
          <w:szCs w:val="32"/>
          <w:u w:val="none"/>
        </w:rPr>
        <w:t>近5年作为项目组主要成员（排名前5位）获得省部级二等奖</w:t>
      </w:r>
      <w:r>
        <w:rPr>
          <w:rFonts w:hint="eastAsia" w:eastAsia="仿宋_GB2312"/>
          <w:color w:val="auto"/>
          <w:szCs w:val="32"/>
          <w:u w:val="none"/>
        </w:rPr>
        <w:t>及</w:t>
      </w:r>
      <w:r>
        <w:rPr>
          <w:rFonts w:eastAsia="仿宋_GB2312"/>
          <w:color w:val="auto"/>
          <w:szCs w:val="32"/>
          <w:u w:val="none"/>
        </w:rPr>
        <w:t>以上科技奖励</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w:t>
      </w:r>
      <w:r>
        <w:rPr>
          <w:rFonts w:hint="eastAsia" w:eastAsia="仿宋_GB2312"/>
          <w:color w:val="auto"/>
          <w:szCs w:val="32"/>
          <w:u w:val="none"/>
        </w:rPr>
        <w:t>2</w:t>
      </w:r>
      <w:r>
        <w:rPr>
          <w:rFonts w:eastAsia="仿宋_GB2312"/>
          <w:color w:val="auto"/>
          <w:szCs w:val="32"/>
          <w:u w:val="none"/>
        </w:rPr>
        <w:t>）作为负责人承担过国家自然科学基金、国家科技重大专项、国家重点研发计划等国家科技计划项目（课题）；</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w:t>
      </w:r>
      <w:r>
        <w:rPr>
          <w:rFonts w:hint="eastAsia" w:eastAsia="仿宋_GB2312"/>
          <w:color w:val="auto"/>
          <w:szCs w:val="32"/>
          <w:u w:val="none"/>
        </w:rPr>
        <w:t>3</w:t>
      </w:r>
      <w:r>
        <w:rPr>
          <w:rFonts w:eastAsia="仿宋_GB2312"/>
          <w:color w:val="auto"/>
          <w:szCs w:val="32"/>
          <w:u w:val="none"/>
        </w:rPr>
        <w:t>）副高级及以上职称，在相关领域开展研究工作3年以上；</w:t>
      </w:r>
    </w:p>
    <w:p>
      <w:pPr>
        <w:adjustRightInd w:val="0"/>
        <w:snapToGrid w:val="0"/>
        <w:spacing w:line="560" w:lineRule="exact"/>
        <w:ind w:firstLine="632" w:firstLineChars="200"/>
        <w:rPr>
          <w:rFonts w:eastAsia="楷体_GB2312"/>
          <w:color w:val="auto"/>
          <w:szCs w:val="32"/>
          <w:u w:val="none"/>
        </w:rPr>
      </w:pPr>
      <w:r>
        <w:rPr>
          <w:rFonts w:hint="eastAsia" w:eastAsia="楷体_GB2312"/>
          <w:color w:val="auto"/>
          <w:szCs w:val="32"/>
          <w:u w:val="none"/>
        </w:rPr>
        <w:t>2.</w:t>
      </w:r>
      <w:r>
        <w:rPr>
          <w:rFonts w:eastAsia="楷体_GB2312"/>
          <w:color w:val="auto"/>
          <w:szCs w:val="32"/>
          <w:u w:val="none"/>
        </w:rPr>
        <w:t>管理专家。</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（1）上市公司、国家高新技术企业、国家和省级园区、创业服务机构、行业协会、学术学会，国家和省科技创新基地、平台等高级管理人员</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w:t>
      </w:r>
      <w:r>
        <w:rPr>
          <w:rFonts w:hint="eastAsia" w:eastAsia="仿宋_GB2312"/>
          <w:color w:val="auto"/>
          <w:szCs w:val="32"/>
          <w:u w:val="none"/>
        </w:rPr>
        <w:t>2</w:t>
      </w:r>
      <w:r>
        <w:rPr>
          <w:rFonts w:eastAsia="仿宋_GB2312"/>
          <w:color w:val="auto"/>
          <w:szCs w:val="32"/>
          <w:u w:val="none"/>
        </w:rPr>
        <w:t>）从事科技管理，熟悉相关领域科技研发与成果转化、技术转移转化等工作</w:t>
      </w:r>
      <w:r>
        <w:rPr>
          <w:rFonts w:hint="eastAsia" w:eastAsia="仿宋_GB2312"/>
          <w:color w:val="auto"/>
          <w:szCs w:val="32"/>
          <w:u w:val="none"/>
          <w:lang w:eastAsia="zh-CN"/>
        </w:rPr>
        <w:t>，</w:t>
      </w:r>
      <w:r>
        <w:rPr>
          <w:rFonts w:eastAsia="仿宋_GB2312"/>
          <w:color w:val="auto"/>
          <w:szCs w:val="32"/>
          <w:u w:val="none"/>
        </w:rPr>
        <w:t>具有副高级及以上职称人员。</w:t>
      </w:r>
    </w:p>
    <w:p>
      <w:pPr>
        <w:adjustRightInd w:val="0"/>
        <w:snapToGrid w:val="0"/>
        <w:spacing w:line="560" w:lineRule="exact"/>
        <w:ind w:firstLine="632" w:firstLineChars="200"/>
        <w:rPr>
          <w:rFonts w:eastAsia="楷体_GB2312"/>
          <w:color w:val="auto"/>
          <w:szCs w:val="32"/>
          <w:u w:val="none"/>
        </w:rPr>
      </w:pPr>
      <w:r>
        <w:rPr>
          <w:rFonts w:hint="eastAsia" w:eastAsia="楷体_GB2312"/>
          <w:color w:val="auto"/>
          <w:szCs w:val="32"/>
          <w:u w:val="none"/>
        </w:rPr>
        <w:t>3.</w:t>
      </w:r>
      <w:r>
        <w:rPr>
          <w:rFonts w:eastAsia="楷体_GB2312"/>
          <w:color w:val="auto"/>
          <w:szCs w:val="32"/>
          <w:u w:val="none"/>
        </w:rPr>
        <w:t>财务专家。</w:t>
      </w:r>
    </w:p>
    <w:p>
      <w:pPr>
        <w:adjustRightInd w:val="0"/>
        <w:snapToGrid w:val="0"/>
        <w:spacing w:line="560" w:lineRule="exact"/>
        <w:ind w:firstLine="632" w:firstLineChars="200"/>
        <w:rPr>
          <w:rFonts w:hint="eastAsia" w:eastAsia="仿宋_GB2312"/>
          <w:color w:val="auto"/>
          <w:szCs w:val="32"/>
          <w:u w:val="none"/>
          <w:lang w:eastAsia="zh-CN"/>
        </w:rPr>
      </w:pPr>
      <w:r>
        <w:rPr>
          <w:rFonts w:hint="eastAsia" w:eastAsia="仿宋_GB2312"/>
          <w:color w:val="auto"/>
          <w:szCs w:val="32"/>
          <w:u w:val="none"/>
        </w:rPr>
        <w:t>（1）</w:t>
      </w:r>
      <w:r>
        <w:rPr>
          <w:rFonts w:eastAsia="仿宋_GB2312"/>
          <w:color w:val="auto"/>
          <w:szCs w:val="32"/>
          <w:u w:val="none"/>
        </w:rPr>
        <w:t>具有取得注册会计师证书</w:t>
      </w:r>
      <w:r>
        <w:rPr>
          <w:rFonts w:hint="eastAsia" w:eastAsia="仿宋_GB2312"/>
          <w:color w:val="auto"/>
          <w:szCs w:val="32"/>
          <w:u w:val="none"/>
          <w:lang w:eastAsia="zh-CN"/>
        </w:rPr>
        <w:t>后从事相关工作</w:t>
      </w:r>
      <w:r>
        <w:rPr>
          <w:rFonts w:eastAsia="仿宋_GB2312"/>
          <w:color w:val="auto"/>
          <w:szCs w:val="32"/>
          <w:u w:val="none"/>
        </w:rPr>
        <w:t>5年以上或具有会计副高级及以上职称人员</w:t>
      </w:r>
      <w:r>
        <w:rPr>
          <w:rFonts w:hint="eastAsia" w:eastAsia="仿宋_GB2312"/>
          <w:color w:val="auto"/>
          <w:szCs w:val="32"/>
          <w:u w:val="none"/>
          <w:lang w:eastAsia="zh-CN"/>
        </w:rPr>
        <w:t>；</w:t>
      </w:r>
    </w:p>
    <w:p>
      <w:pPr>
        <w:adjustRightInd w:val="0"/>
        <w:snapToGrid w:val="0"/>
        <w:spacing w:line="560" w:lineRule="exact"/>
        <w:ind w:firstLine="632" w:firstLineChars="200"/>
        <w:rPr>
          <w:rFonts w:eastAsia="仿宋_GB2312"/>
          <w:color w:val="auto"/>
          <w:szCs w:val="32"/>
          <w:u w:val="none"/>
        </w:rPr>
      </w:pPr>
      <w:r>
        <w:rPr>
          <w:rFonts w:hint="eastAsia" w:eastAsia="仿宋_GB2312"/>
          <w:color w:val="auto"/>
          <w:szCs w:val="32"/>
          <w:u w:val="none"/>
          <w:lang w:eastAsia="zh-CN"/>
        </w:rPr>
        <w:t>（</w:t>
      </w:r>
      <w:r>
        <w:rPr>
          <w:rFonts w:hint="eastAsia" w:eastAsia="仿宋_GB2312"/>
          <w:color w:val="auto"/>
          <w:szCs w:val="32"/>
          <w:u w:val="none"/>
          <w:lang w:val="en-US" w:eastAsia="zh-CN"/>
        </w:rPr>
        <w:t>2</w:t>
      </w:r>
      <w:r>
        <w:rPr>
          <w:rFonts w:hint="eastAsia" w:eastAsia="仿宋_GB2312"/>
          <w:color w:val="auto"/>
          <w:szCs w:val="32"/>
          <w:u w:val="none"/>
          <w:lang w:eastAsia="zh-CN"/>
        </w:rPr>
        <w:t>）</w:t>
      </w:r>
      <w:r>
        <w:rPr>
          <w:rFonts w:eastAsia="仿宋_GB2312"/>
          <w:color w:val="auto"/>
          <w:szCs w:val="32"/>
          <w:u w:val="none"/>
        </w:rPr>
        <w:t>高等院校、科研院所、上市公司等的财务部门负责人</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第九条</w:t>
      </w:r>
      <w:r>
        <w:rPr>
          <w:rFonts w:eastAsia="仿宋_GB2312"/>
          <w:color w:val="auto"/>
          <w:szCs w:val="32"/>
          <w:u w:val="none"/>
        </w:rPr>
        <w:t xml:space="preserve">  </w:t>
      </w:r>
      <w:r>
        <w:rPr>
          <w:rFonts w:hint="eastAsia" w:eastAsia="仿宋_GB2312"/>
          <w:color w:val="auto"/>
          <w:szCs w:val="32"/>
          <w:u w:val="none"/>
        </w:rPr>
        <w:t>专家库入库方式。</w:t>
      </w:r>
    </w:p>
    <w:p>
      <w:pPr>
        <w:adjustRightInd w:val="0"/>
        <w:snapToGrid w:val="0"/>
        <w:spacing w:line="560" w:lineRule="exact"/>
        <w:ind w:firstLine="632" w:firstLineChars="200"/>
        <w:rPr>
          <w:rFonts w:hint="eastAsia" w:eastAsia="楷体_GB2312"/>
          <w:color w:val="auto"/>
          <w:szCs w:val="32"/>
          <w:u w:val="none"/>
        </w:rPr>
      </w:pPr>
      <w:r>
        <w:rPr>
          <w:rFonts w:hint="eastAsia" w:eastAsia="楷体_GB2312"/>
          <w:color w:val="auto"/>
          <w:szCs w:val="32"/>
          <w:u w:val="none"/>
        </w:rPr>
        <w:t>（一）省内专家公开征集入库。</w:t>
      </w:r>
    </w:p>
    <w:p>
      <w:pPr>
        <w:adjustRightInd w:val="0"/>
        <w:snapToGrid w:val="0"/>
        <w:spacing w:line="560" w:lineRule="exact"/>
        <w:ind w:firstLine="632" w:firstLineChars="200"/>
        <w:rPr>
          <w:rFonts w:hint="eastAsia" w:eastAsia="仿宋_GB2312"/>
          <w:color w:val="auto"/>
          <w:szCs w:val="32"/>
          <w:u w:val="none"/>
        </w:rPr>
      </w:pPr>
      <w:r>
        <w:rPr>
          <w:rFonts w:eastAsia="仿宋_GB2312"/>
          <w:color w:val="auto"/>
          <w:szCs w:val="32"/>
          <w:u w:val="none"/>
        </w:rPr>
        <w:t>专家入库采取本人自愿、单位推荐的方式。专家本人可在线申请进入专家库，经所在单位</w:t>
      </w:r>
      <w:r>
        <w:rPr>
          <w:rFonts w:hint="eastAsia" w:eastAsia="仿宋_GB2312"/>
          <w:color w:val="auto"/>
          <w:szCs w:val="32"/>
          <w:u w:val="none"/>
        </w:rPr>
        <w:t>或地方科技行政主管部门</w:t>
      </w:r>
      <w:r>
        <w:rPr>
          <w:rFonts w:eastAsia="仿宋_GB2312"/>
          <w:color w:val="auto"/>
          <w:szCs w:val="32"/>
          <w:u w:val="none"/>
        </w:rPr>
        <w:t>审核后向科技厅推荐。相关单位聘请的港澳台专家、外籍专家也可由专家提出申请，经聘用单位和相关管理部门审核后，向科技厅推荐。科技厅对符合条件的专家审验后入库。</w:t>
      </w:r>
      <w:r>
        <w:rPr>
          <w:rFonts w:hint="eastAsia" w:eastAsia="仿宋_GB2312"/>
          <w:color w:val="auto"/>
          <w:szCs w:val="32"/>
          <w:u w:val="none"/>
        </w:rPr>
        <w:t>科</w:t>
      </w:r>
      <w:r>
        <w:rPr>
          <w:rFonts w:eastAsia="仿宋_GB2312"/>
          <w:color w:val="auto"/>
          <w:szCs w:val="32"/>
          <w:u w:val="none"/>
        </w:rPr>
        <w:t>技厅根据工作需要可邀请符合条件的专家入库。</w:t>
      </w:r>
    </w:p>
    <w:p>
      <w:pPr>
        <w:adjustRightInd w:val="0"/>
        <w:snapToGrid w:val="0"/>
        <w:spacing w:line="560" w:lineRule="exact"/>
        <w:ind w:firstLine="632" w:firstLineChars="200"/>
        <w:rPr>
          <w:rFonts w:hint="eastAsia" w:eastAsia="楷体_GB2312"/>
          <w:color w:val="auto"/>
          <w:szCs w:val="32"/>
          <w:u w:val="none"/>
        </w:rPr>
      </w:pPr>
      <w:r>
        <w:rPr>
          <w:rFonts w:hint="eastAsia" w:eastAsia="楷体_GB2312"/>
          <w:color w:val="auto"/>
          <w:szCs w:val="32"/>
          <w:u w:val="none"/>
        </w:rPr>
        <w:t>（二）</w:t>
      </w:r>
      <w:r>
        <w:rPr>
          <w:rFonts w:eastAsia="楷体_GB2312"/>
          <w:color w:val="auto"/>
          <w:szCs w:val="32"/>
          <w:u w:val="none"/>
        </w:rPr>
        <w:t>省外专家共建共享</w:t>
      </w:r>
      <w:r>
        <w:rPr>
          <w:rFonts w:hint="eastAsia" w:eastAsia="楷体_GB2312"/>
          <w:color w:val="auto"/>
          <w:szCs w:val="32"/>
          <w:u w:val="none"/>
        </w:rPr>
        <w:t>入库。</w:t>
      </w:r>
    </w:p>
    <w:p>
      <w:pPr>
        <w:adjustRightInd w:val="0"/>
        <w:snapToGrid w:val="0"/>
        <w:spacing w:line="560" w:lineRule="exact"/>
        <w:ind w:firstLine="632" w:firstLineChars="200"/>
        <w:rPr>
          <w:rFonts w:hint="eastAsia" w:eastAsia="楷体_GB2312"/>
          <w:color w:val="auto"/>
          <w:szCs w:val="32"/>
          <w:u w:val="none"/>
          <w:lang w:eastAsia="zh-CN"/>
        </w:rPr>
      </w:pPr>
      <w:r>
        <w:rPr>
          <w:rFonts w:hint="eastAsia" w:eastAsia="楷体_GB2312"/>
          <w:color w:val="auto"/>
          <w:szCs w:val="32"/>
          <w:u w:val="none"/>
          <w:lang w:eastAsia="zh-CN"/>
        </w:rPr>
        <w:t>专家入库采取与相关省区市科技专家库共享导入。</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第十条</w:t>
      </w:r>
      <w:r>
        <w:rPr>
          <w:rFonts w:eastAsia="仿宋_GB2312"/>
          <w:color w:val="auto"/>
          <w:szCs w:val="32"/>
          <w:u w:val="none"/>
        </w:rPr>
        <w:t xml:space="preserve">  </w:t>
      </w:r>
      <w:r>
        <w:rPr>
          <w:rFonts w:hint="eastAsia" w:eastAsia="仿宋_GB2312"/>
          <w:color w:val="auto"/>
          <w:szCs w:val="32"/>
          <w:u w:val="none"/>
          <w:lang w:eastAsia="zh-CN"/>
        </w:rPr>
        <w:t>省内</w:t>
      </w:r>
      <w:r>
        <w:rPr>
          <w:rFonts w:eastAsia="仿宋_GB2312"/>
          <w:color w:val="auto"/>
          <w:szCs w:val="32"/>
          <w:u w:val="none"/>
        </w:rPr>
        <w:t>专家入库</w:t>
      </w:r>
      <w:r>
        <w:rPr>
          <w:rFonts w:hint="eastAsia" w:eastAsia="仿宋_GB2312"/>
          <w:color w:val="auto"/>
          <w:szCs w:val="32"/>
          <w:u w:val="none"/>
        </w:rPr>
        <w:t>流程</w:t>
      </w:r>
      <w:r>
        <w:rPr>
          <w:rFonts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1.公开征集。在科技厅门户网站公开</w:t>
      </w:r>
      <w:r>
        <w:rPr>
          <w:rFonts w:hint="eastAsia" w:eastAsia="仿宋_GB2312"/>
          <w:color w:val="auto"/>
          <w:szCs w:val="32"/>
          <w:u w:val="none"/>
          <w:lang w:eastAsia="zh-CN"/>
        </w:rPr>
        <w:t>不定期</w:t>
      </w:r>
      <w:r>
        <w:rPr>
          <w:rFonts w:eastAsia="仿宋_GB2312"/>
          <w:color w:val="auto"/>
          <w:szCs w:val="32"/>
          <w:u w:val="none"/>
        </w:rPr>
        <w:t>征集专家</w:t>
      </w:r>
      <w:r>
        <w:rPr>
          <w:rFonts w:hint="eastAsia" w:eastAsia="仿宋_GB2312"/>
          <w:color w:val="auto"/>
          <w:szCs w:val="32"/>
          <w:u w:val="none"/>
          <w:lang w:eastAsia="zh-CN"/>
        </w:rPr>
        <w:t>，</w:t>
      </w:r>
      <w:r>
        <w:rPr>
          <w:rFonts w:eastAsia="仿宋_GB2312"/>
          <w:color w:val="auto"/>
          <w:szCs w:val="32"/>
          <w:u w:val="none"/>
        </w:rPr>
        <w:t>专家入库申请常年受理</w:t>
      </w:r>
      <w:r>
        <w:rPr>
          <w:rFonts w:hint="eastAsia" w:eastAsia="仿宋_GB2312"/>
          <w:color w:val="auto"/>
          <w:szCs w:val="32"/>
          <w:u w:val="none"/>
          <w:lang w:eastAsia="zh-CN"/>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2.入库申请。专家自愿在信息系统专家申报系统上填写《四川省科技专家申请表》并附上相关支撑材料。</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3.核实推荐。专家所在单位或地方科技行政管理部门对专家</w:t>
      </w:r>
      <w:r>
        <w:rPr>
          <w:rFonts w:hint="eastAsia" w:eastAsia="仿宋_GB2312"/>
          <w:color w:val="auto"/>
          <w:szCs w:val="32"/>
          <w:u w:val="none"/>
          <w:lang w:eastAsia="zh-CN"/>
        </w:rPr>
        <w:t>资格条件、支撑材料</w:t>
      </w:r>
      <w:r>
        <w:rPr>
          <w:rFonts w:eastAsia="仿宋_GB2312"/>
          <w:color w:val="auto"/>
          <w:szCs w:val="32"/>
          <w:u w:val="none"/>
        </w:rPr>
        <w:t>真实</w:t>
      </w:r>
      <w:r>
        <w:rPr>
          <w:rFonts w:hint="eastAsia" w:eastAsia="仿宋_GB2312"/>
          <w:color w:val="auto"/>
          <w:szCs w:val="32"/>
          <w:u w:val="none"/>
          <w:lang w:eastAsia="zh-CN"/>
        </w:rPr>
        <w:t>性</w:t>
      </w:r>
      <w:r>
        <w:rPr>
          <w:rFonts w:eastAsia="仿宋_GB2312"/>
          <w:color w:val="auto"/>
          <w:szCs w:val="32"/>
          <w:u w:val="none"/>
        </w:rPr>
        <w:t>进行核实后推荐</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4.审验入库。科技厅根据专家所在单位或地方科技行政管理部门推荐情况，对专家信息进行审验入库。</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第十一条</w:t>
      </w:r>
      <w:r>
        <w:rPr>
          <w:rFonts w:eastAsia="仿宋_GB2312"/>
          <w:color w:val="auto"/>
          <w:szCs w:val="32"/>
          <w:u w:val="none"/>
        </w:rPr>
        <w:t xml:space="preserve">  专家评审活动实行分级动态管理。根据专家评审项目质量和数量进行分级，最高为五级，最低为一级。入库专家默认为三级。科技厅不定期对专家评审活动进行数据分析，分析结果作为分级动态管理的参考依据。</w:t>
      </w:r>
    </w:p>
    <w:p>
      <w:pPr>
        <w:adjustRightInd w:val="0"/>
        <w:snapToGrid w:val="0"/>
        <w:spacing w:line="560" w:lineRule="exact"/>
        <w:ind w:firstLine="632" w:firstLineChars="200"/>
        <w:rPr>
          <w:rFonts w:eastAsia="楷体_GB2312"/>
          <w:color w:val="auto"/>
          <w:szCs w:val="32"/>
          <w:u w:val="none"/>
        </w:rPr>
      </w:pPr>
      <w:r>
        <w:rPr>
          <w:rFonts w:eastAsia="楷体_GB2312"/>
          <w:color w:val="auto"/>
          <w:szCs w:val="32"/>
          <w:u w:val="none"/>
        </w:rPr>
        <w:t>（一）高质量完成一定数量项目评审的专家，上升一个级别。</w:t>
      </w:r>
    </w:p>
    <w:p>
      <w:pPr>
        <w:adjustRightInd w:val="0"/>
        <w:snapToGrid w:val="0"/>
        <w:spacing w:line="560" w:lineRule="exact"/>
        <w:ind w:firstLine="632" w:firstLineChars="200"/>
        <w:rPr>
          <w:rFonts w:eastAsia="楷体_GB2312"/>
          <w:color w:val="auto"/>
          <w:szCs w:val="32"/>
          <w:u w:val="none"/>
        </w:rPr>
      </w:pPr>
      <w:r>
        <w:rPr>
          <w:rFonts w:eastAsia="楷体_GB2312"/>
          <w:color w:val="auto"/>
          <w:szCs w:val="32"/>
          <w:u w:val="none"/>
        </w:rPr>
        <w:t>（二）有以下情况之一的，下降一个级别</w:t>
      </w:r>
      <w:r>
        <w:rPr>
          <w:rFonts w:hint="eastAsia" w:eastAsia="楷体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1.无故拒绝参加科技评审活动2次以上；</w:t>
      </w:r>
    </w:p>
    <w:p>
      <w:pPr>
        <w:adjustRightInd w:val="0"/>
        <w:snapToGrid w:val="0"/>
        <w:spacing w:line="560" w:lineRule="exact"/>
        <w:ind w:firstLine="632" w:firstLineChars="200"/>
        <w:rPr>
          <w:rFonts w:hint="eastAsia" w:eastAsia="仿宋_GB2312"/>
          <w:color w:val="auto"/>
          <w:szCs w:val="32"/>
          <w:u w:val="none"/>
          <w:lang w:val="en-US" w:eastAsia="zh-CN"/>
        </w:rPr>
      </w:pPr>
      <w:r>
        <w:rPr>
          <w:rFonts w:hint="eastAsia" w:eastAsia="仿宋_GB2312"/>
          <w:color w:val="auto"/>
          <w:szCs w:val="32"/>
          <w:u w:val="none"/>
          <w:lang w:val="en-US" w:eastAsia="zh-CN"/>
        </w:rPr>
        <w:t>2.未按时完成项目评审工作；</w:t>
      </w:r>
    </w:p>
    <w:p>
      <w:pPr>
        <w:adjustRightInd w:val="0"/>
        <w:snapToGrid w:val="0"/>
        <w:spacing w:line="560" w:lineRule="exact"/>
        <w:ind w:firstLine="632" w:firstLineChars="200"/>
        <w:rPr>
          <w:rFonts w:eastAsia="仿宋_GB2312"/>
          <w:color w:val="auto"/>
          <w:szCs w:val="32"/>
          <w:u w:val="none"/>
        </w:rPr>
      </w:pPr>
      <w:r>
        <w:rPr>
          <w:rFonts w:hint="eastAsia" w:eastAsia="仿宋_GB2312"/>
          <w:color w:val="auto"/>
          <w:szCs w:val="32"/>
          <w:u w:val="none"/>
          <w:lang w:val="en-US" w:eastAsia="zh-CN"/>
        </w:rPr>
        <w:t>3</w:t>
      </w:r>
      <w:r>
        <w:rPr>
          <w:rFonts w:eastAsia="仿宋_GB2312"/>
          <w:color w:val="auto"/>
          <w:szCs w:val="32"/>
          <w:u w:val="none"/>
        </w:rPr>
        <w:t>.在项目评审过程中，弃权比例超过30%；</w:t>
      </w:r>
    </w:p>
    <w:p>
      <w:pPr>
        <w:adjustRightInd w:val="0"/>
        <w:snapToGrid w:val="0"/>
        <w:spacing w:line="560" w:lineRule="exact"/>
        <w:ind w:firstLine="632" w:firstLineChars="200"/>
        <w:rPr>
          <w:rFonts w:eastAsia="仿宋_GB2312"/>
          <w:color w:val="auto"/>
          <w:szCs w:val="32"/>
          <w:u w:val="none"/>
        </w:rPr>
      </w:pPr>
      <w:r>
        <w:rPr>
          <w:rFonts w:hint="eastAsia" w:eastAsia="仿宋_GB2312"/>
          <w:color w:val="auto"/>
          <w:szCs w:val="32"/>
          <w:u w:val="none"/>
          <w:lang w:val="en-US" w:eastAsia="zh-CN"/>
        </w:rPr>
        <w:t>4</w:t>
      </w:r>
      <w:r>
        <w:rPr>
          <w:rFonts w:eastAsia="仿宋_GB2312"/>
          <w:color w:val="auto"/>
          <w:szCs w:val="32"/>
          <w:u w:val="none"/>
        </w:rPr>
        <w:t>.在项目评审过程中，无故选取筛选性指标，造成项目评价明显异常；</w:t>
      </w:r>
    </w:p>
    <w:p>
      <w:pPr>
        <w:adjustRightInd w:val="0"/>
        <w:snapToGrid w:val="0"/>
        <w:spacing w:line="560" w:lineRule="exact"/>
        <w:ind w:firstLine="632" w:firstLineChars="200"/>
        <w:rPr>
          <w:rFonts w:eastAsia="仿宋_GB2312"/>
          <w:color w:val="auto"/>
          <w:szCs w:val="32"/>
          <w:u w:val="none"/>
        </w:rPr>
      </w:pPr>
      <w:r>
        <w:rPr>
          <w:rFonts w:hint="eastAsia" w:eastAsia="仿宋_GB2312"/>
          <w:color w:val="auto"/>
          <w:szCs w:val="32"/>
          <w:u w:val="none"/>
          <w:lang w:val="en-US" w:eastAsia="zh-CN"/>
        </w:rPr>
        <w:t>5</w:t>
      </w:r>
      <w:r>
        <w:rPr>
          <w:rFonts w:eastAsia="仿宋_GB2312"/>
          <w:color w:val="auto"/>
          <w:szCs w:val="32"/>
          <w:u w:val="none"/>
        </w:rPr>
        <w:t>.评审结果与评审要求多次出现严重偏差的；</w:t>
      </w:r>
    </w:p>
    <w:p>
      <w:pPr>
        <w:adjustRightInd w:val="0"/>
        <w:snapToGrid w:val="0"/>
        <w:spacing w:line="560" w:lineRule="exact"/>
        <w:ind w:firstLine="632" w:firstLineChars="200"/>
        <w:rPr>
          <w:rFonts w:eastAsia="仿宋_GB2312"/>
          <w:color w:val="auto"/>
          <w:szCs w:val="32"/>
          <w:u w:val="none"/>
        </w:rPr>
      </w:pPr>
      <w:r>
        <w:rPr>
          <w:rFonts w:hint="eastAsia" w:eastAsia="仿宋_GB2312"/>
          <w:color w:val="auto"/>
          <w:szCs w:val="32"/>
          <w:u w:val="none"/>
          <w:lang w:val="en-US" w:eastAsia="zh-CN"/>
        </w:rPr>
        <w:t>6</w:t>
      </w:r>
      <w:r>
        <w:rPr>
          <w:rFonts w:eastAsia="仿宋_GB2312"/>
          <w:color w:val="auto"/>
          <w:szCs w:val="32"/>
          <w:u w:val="none"/>
        </w:rPr>
        <w:t>.根据专家项目评审活动数据分析，存在明显异常的。</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第十二条</w:t>
      </w:r>
      <w:r>
        <w:rPr>
          <w:rFonts w:eastAsia="仿宋_GB2312"/>
          <w:color w:val="auto"/>
          <w:szCs w:val="32"/>
          <w:u w:val="none"/>
        </w:rPr>
        <w:t xml:space="preserve">  有以下情形之一的，予以专家出库处理</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（一）擅自泄漏评审评估的内容、过程和结果等重要信息的。</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（二）应主动申请回避而未申请回避的。</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（三）在参加专家评审活动过程中，存在徇私舞弊，接受或索取相关单位（个人）的馈赠、宴请或不正当利益的。</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（四）存在伪造、篡改和剽窃等学术不端行为，发生科研实践和结果背离科研事实等科研诚信和伦理责任问题的。</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（五）触犯法律、法规而被追究法律责任的。</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（六）其他情形不适宜再担任评审专家的。</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第十三条</w:t>
      </w:r>
      <w:r>
        <w:rPr>
          <w:rFonts w:eastAsia="仿宋_GB2312"/>
          <w:color w:val="auto"/>
          <w:szCs w:val="32"/>
          <w:u w:val="none"/>
        </w:rPr>
        <w:t xml:space="preserve">  专家出库程序</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楷体_GB2312"/>
          <w:color w:val="auto"/>
          <w:szCs w:val="32"/>
          <w:u w:val="none"/>
        </w:rPr>
        <w:t>（一）主动出库。</w:t>
      </w:r>
      <w:r>
        <w:rPr>
          <w:rFonts w:eastAsia="仿宋_GB2312"/>
          <w:color w:val="auto"/>
          <w:szCs w:val="32"/>
          <w:u w:val="none"/>
        </w:rPr>
        <w:t>专家可直接通过专家库系统</w:t>
      </w:r>
      <w:r>
        <w:rPr>
          <w:rFonts w:hint="eastAsia" w:eastAsia="仿宋_GB2312"/>
          <w:color w:val="auto"/>
          <w:szCs w:val="32"/>
          <w:u w:val="none"/>
          <w:lang w:eastAsia="zh-CN"/>
        </w:rPr>
        <w:t>主动申请</w:t>
      </w:r>
      <w:r>
        <w:rPr>
          <w:rFonts w:eastAsia="仿宋_GB2312"/>
          <w:color w:val="auto"/>
          <w:szCs w:val="32"/>
          <w:u w:val="none"/>
        </w:rPr>
        <w:t>出库，主动出库的专家2年内不得再次申请入库。</w:t>
      </w:r>
    </w:p>
    <w:p>
      <w:pPr>
        <w:adjustRightInd w:val="0"/>
        <w:snapToGrid w:val="0"/>
        <w:spacing w:line="560" w:lineRule="exact"/>
        <w:ind w:firstLine="632" w:firstLineChars="200"/>
        <w:rPr>
          <w:rFonts w:eastAsia="仿宋_GB2312"/>
          <w:color w:val="auto"/>
          <w:szCs w:val="32"/>
          <w:u w:val="none"/>
        </w:rPr>
      </w:pPr>
      <w:r>
        <w:rPr>
          <w:rFonts w:eastAsia="楷体_GB2312"/>
          <w:color w:val="auto"/>
          <w:szCs w:val="32"/>
          <w:u w:val="none"/>
        </w:rPr>
        <w:t>（二）取消专家库专家资格。</w:t>
      </w:r>
      <w:r>
        <w:rPr>
          <w:rFonts w:eastAsia="仿宋_GB2312"/>
          <w:color w:val="auto"/>
          <w:szCs w:val="32"/>
          <w:u w:val="none"/>
        </w:rPr>
        <w:t>有第十二条所列情况的，由科技厅核实相关情况后，取消专家库专家资格并作出库处理，且不得再次申请入库。</w:t>
      </w:r>
    </w:p>
    <w:p>
      <w:pPr>
        <w:adjustRightInd w:val="0"/>
        <w:snapToGrid w:val="0"/>
        <w:spacing w:line="560" w:lineRule="exact"/>
        <w:ind w:firstLine="632" w:firstLineChars="200"/>
        <w:rPr>
          <w:color w:val="auto"/>
          <w:szCs w:val="32"/>
          <w:u w:val="none"/>
        </w:rPr>
      </w:pPr>
    </w:p>
    <w:p>
      <w:pPr>
        <w:adjustRightInd w:val="0"/>
        <w:snapToGrid w:val="0"/>
        <w:spacing w:line="560" w:lineRule="exact"/>
        <w:jc w:val="center"/>
        <w:rPr>
          <w:rFonts w:eastAsia="黑体"/>
          <w:color w:val="auto"/>
          <w:szCs w:val="32"/>
          <w:u w:val="none"/>
        </w:rPr>
      </w:pPr>
      <w:r>
        <w:rPr>
          <w:rFonts w:eastAsia="黑体"/>
          <w:color w:val="auto"/>
          <w:szCs w:val="32"/>
          <w:u w:val="none"/>
        </w:rPr>
        <w:t>第三章  专家库的使用管理</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第十四条</w:t>
      </w:r>
      <w:r>
        <w:rPr>
          <w:rFonts w:eastAsia="仿宋_GB2312"/>
          <w:color w:val="auto"/>
          <w:szCs w:val="32"/>
          <w:u w:val="none"/>
        </w:rPr>
        <w:t xml:space="preserve">  科技项目的评审评估、验收、绩效评价等科技活动所需专家，原则上从专家库中选取。</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第十五条</w:t>
      </w:r>
      <w:r>
        <w:rPr>
          <w:rFonts w:eastAsia="仿宋_GB2312"/>
          <w:color w:val="auto"/>
          <w:szCs w:val="32"/>
          <w:u w:val="none"/>
        </w:rPr>
        <w:t xml:space="preserve">  省级有关部门、地方科技行政管理部门、有关单位等需要使用专家库专家的，依申请使用，专家自愿参与。使用省外专家的，依据专家库共建共享协议执行。</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第十六条</w:t>
      </w:r>
      <w:r>
        <w:rPr>
          <w:rFonts w:eastAsia="仿宋_GB2312"/>
          <w:color w:val="auto"/>
          <w:szCs w:val="32"/>
          <w:u w:val="none"/>
        </w:rPr>
        <w:t xml:space="preserve">  </w:t>
      </w:r>
      <w:r>
        <w:rPr>
          <w:rFonts w:hint="eastAsia" w:eastAsia="仿宋_GB2312"/>
          <w:color w:val="auto"/>
          <w:szCs w:val="32"/>
          <w:u w:val="none"/>
          <w:lang w:eastAsia="zh-CN"/>
        </w:rPr>
        <w:t>专家选取</w:t>
      </w:r>
      <w:r>
        <w:rPr>
          <w:rFonts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（一）专家选取由科技厅</w:t>
      </w:r>
      <w:r>
        <w:rPr>
          <w:rFonts w:hint="eastAsia" w:eastAsia="仿宋_GB2312"/>
          <w:color w:val="auto"/>
          <w:szCs w:val="32"/>
          <w:u w:val="none"/>
          <w:lang w:eastAsia="zh-CN"/>
        </w:rPr>
        <w:t>负责</w:t>
      </w:r>
      <w:r>
        <w:rPr>
          <w:rFonts w:hint="eastAsia" w:eastAsia="仿宋_GB2312"/>
          <w:color w:val="auto"/>
          <w:szCs w:val="32"/>
          <w:u w:val="none"/>
        </w:rPr>
        <w:t>组织</w:t>
      </w:r>
      <w:r>
        <w:rPr>
          <w:rFonts w:eastAsia="仿宋_GB2312"/>
          <w:color w:val="auto"/>
          <w:szCs w:val="32"/>
          <w:u w:val="none"/>
        </w:rPr>
        <w:t>评审评估</w:t>
      </w:r>
      <w:r>
        <w:rPr>
          <w:rFonts w:hint="eastAsia" w:eastAsia="仿宋_GB2312"/>
          <w:color w:val="auto"/>
          <w:szCs w:val="32"/>
          <w:u w:val="none"/>
          <w:lang w:eastAsia="zh-CN"/>
        </w:rPr>
        <w:t>、验收、绩效评价</w:t>
      </w:r>
      <w:r>
        <w:rPr>
          <w:rFonts w:hint="eastAsia" w:eastAsia="仿宋_GB2312"/>
          <w:color w:val="auto"/>
          <w:szCs w:val="32"/>
          <w:u w:val="none"/>
        </w:rPr>
        <w:t>工作的</w:t>
      </w:r>
      <w:r>
        <w:rPr>
          <w:rFonts w:eastAsia="仿宋_GB2312"/>
          <w:color w:val="auto"/>
          <w:szCs w:val="32"/>
          <w:u w:val="none"/>
        </w:rPr>
        <w:t>处室</w:t>
      </w:r>
      <w:r>
        <w:rPr>
          <w:rFonts w:hint="eastAsia" w:eastAsia="仿宋_GB2312"/>
          <w:color w:val="auto"/>
          <w:szCs w:val="32"/>
          <w:u w:val="none"/>
        </w:rPr>
        <w:t>负责</w:t>
      </w:r>
      <w:r>
        <w:rPr>
          <w:rFonts w:eastAsia="仿宋_GB2312"/>
          <w:color w:val="auto"/>
          <w:szCs w:val="32"/>
          <w:u w:val="none"/>
        </w:rPr>
        <w:t>选取，科技厅科技监督与诚信建设处、机关</w:t>
      </w:r>
      <w:r>
        <w:rPr>
          <w:rFonts w:hint="eastAsia" w:eastAsia="仿宋_GB2312"/>
          <w:color w:val="auto"/>
          <w:szCs w:val="32"/>
          <w:u w:val="none"/>
          <w:lang w:eastAsia="zh-CN"/>
        </w:rPr>
        <w:t>纪</w:t>
      </w:r>
      <w:r>
        <w:rPr>
          <w:rFonts w:eastAsia="仿宋_GB2312"/>
          <w:color w:val="auto"/>
          <w:szCs w:val="32"/>
          <w:u w:val="none"/>
        </w:rPr>
        <w:t>委负责监督。</w:t>
      </w:r>
    </w:p>
    <w:p>
      <w:pPr>
        <w:adjustRightInd w:val="0"/>
        <w:snapToGrid w:val="0"/>
        <w:spacing w:line="560" w:lineRule="exact"/>
        <w:ind w:firstLine="632" w:firstLineChars="200"/>
        <w:rPr>
          <w:rFonts w:hint="eastAsia" w:eastAsia="仿宋_GB2312"/>
          <w:color w:val="auto"/>
          <w:szCs w:val="32"/>
          <w:u w:val="none"/>
          <w:lang w:eastAsia="zh-CN"/>
        </w:rPr>
      </w:pPr>
      <w:r>
        <w:rPr>
          <w:rFonts w:eastAsia="仿宋_GB2312"/>
          <w:color w:val="auto"/>
          <w:szCs w:val="32"/>
          <w:u w:val="none"/>
        </w:rPr>
        <w:t>（二）</w:t>
      </w:r>
      <w:r>
        <w:rPr>
          <w:rFonts w:hint="eastAsia" w:eastAsia="仿宋_GB2312"/>
          <w:color w:val="auto"/>
          <w:szCs w:val="32"/>
          <w:u w:val="none"/>
          <w:lang w:eastAsia="zh-CN"/>
        </w:rPr>
        <w:t>项目评审</w:t>
      </w:r>
      <w:r>
        <w:rPr>
          <w:rFonts w:eastAsia="仿宋_GB2312"/>
          <w:color w:val="auto"/>
          <w:szCs w:val="32"/>
          <w:u w:val="none"/>
        </w:rPr>
        <w:t>专家选取时</w:t>
      </w:r>
      <w:r>
        <w:rPr>
          <w:rFonts w:hint="eastAsia" w:eastAsia="仿宋_GB2312"/>
          <w:color w:val="auto"/>
          <w:szCs w:val="32"/>
          <w:u w:val="none"/>
          <w:lang w:eastAsia="zh-CN"/>
        </w:rPr>
        <w:t>一般应</w:t>
      </w:r>
      <w:r>
        <w:rPr>
          <w:rFonts w:eastAsia="仿宋_GB2312"/>
          <w:color w:val="auto"/>
          <w:szCs w:val="32"/>
          <w:u w:val="none"/>
        </w:rPr>
        <w:t>由系统随机产生候选专家</w:t>
      </w:r>
      <w:r>
        <w:rPr>
          <w:rFonts w:hint="eastAsia" w:eastAsia="仿宋_GB2312"/>
          <w:color w:val="auto"/>
          <w:szCs w:val="32"/>
          <w:u w:val="none"/>
          <w:lang w:eastAsia="zh-CN"/>
        </w:rPr>
        <w:t>。</w:t>
      </w:r>
    </w:p>
    <w:p>
      <w:pPr>
        <w:adjustRightInd w:val="0"/>
        <w:snapToGrid w:val="0"/>
        <w:spacing w:line="560" w:lineRule="exact"/>
        <w:ind w:firstLine="632" w:firstLineChars="200"/>
        <w:rPr>
          <w:rFonts w:hint="eastAsia" w:eastAsia="仿宋_GB2312"/>
          <w:color w:val="auto"/>
          <w:szCs w:val="32"/>
          <w:u w:val="none"/>
          <w:lang w:eastAsia="zh-CN"/>
        </w:rPr>
      </w:pPr>
      <w:r>
        <w:rPr>
          <w:rFonts w:eastAsia="仿宋_GB2312"/>
          <w:color w:val="auto"/>
          <w:szCs w:val="32"/>
          <w:u w:val="none"/>
        </w:rPr>
        <w:t>（三）</w:t>
      </w:r>
      <w:r>
        <w:rPr>
          <w:rFonts w:hint="eastAsia" w:eastAsia="仿宋_GB2312"/>
          <w:color w:val="auto"/>
          <w:szCs w:val="32"/>
          <w:u w:val="none"/>
          <w:lang w:eastAsia="zh-CN"/>
        </w:rPr>
        <w:t>项目验收、绩效评价、中期评估、现场考察专家选取时，可由相关处室在专家库中直接选取。</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第十</w:t>
      </w:r>
      <w:r>
        <w:rPr>
          <w:rFonts w:hint="eastAsia" w:eastAsia="仿宋_GB2312"/>
          <w:b/>
          <w:color w:val="auto"/>
          <w:szCs w:val="32"/>
          <w:u w:val="none"/>
          <w:lang w:eastAsia="zh-CN"/>
        </w:rPr>
        <w:t>八</w:t>
      </w:r>
      <w:r>
        <w:rPr>
          <w:rFonts w:eastAsia="仿宋_GB2312"/>
          <w:b/>
          <w:color w:val="auto"/>
          <w:szCs w:val="32"/>
          <w:u w:val="none"/>
        </w:rPr>
        <w:t>条</w:t>
      </w:r>
      <w:r>
        <w:rPr>
          <w:rFonts w:eastAsia="仿宋_GB2312"/>
          <w:color w:val="auto"/>
          <w:szCs w:val="32"/>
          <w:u w:val="none"/>
        </w:rPr>
        <w:t xml:space="preserve">  专家库建立科研诚信记录机制。对专家参与评审活动情况进行记录，作为后续使用专家参考。</w:t>
      </w:r>
    </w:p>
    <w:p>
      <w:pPr>
        <w:adjustRightInd w:val="0"/>
        <w:snapToGrid w:val="0"/>
        <w:spacing w:line="560" w:lineRule="exact"/>
        <w:ind w:firstLine="632" w:firstLineChars="200"/>
        <w:rPr>
          <w:color w:val="auto"/>
          <w:szCs w:val="32"/>
          <w:u w:val="none"/>
        </w:rPr>
      </w:pPr>
    </w:p>
    <w:p>
      <w:pPr>
        <w:adjustRightInd w:val="0"/>
        <w:snapToGrid w:val="0"/>
        <w:spacing w:line="560" w:lineRule="exact"/>
        <w:jc w:val="center"/>
        <w:rPr>
          <w:rFonts w:eastAsia="黑体"/>
          <w:color w:val="auto"/>
          <w:szCs w:val="32"/>
          <w:u w:val="none"/>
        </w:rPr>
      </w:pPr>
      <w:r>
        <w:rPr>
          <w:rFonts w:eastAsia="黑体"/>
          <w:color w:val="auto"/>
          <w:szCs w:val="32"/>
          <w:u w:val="none"/>
        </w:rPr>
        <w:t>第四章  专家权利和义务</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第十</w:t>
      </w:r>
      <w:r>
        <w:rPr>
          <w:rFonts w:hint="eastAsia" w:eastAsia="仿宋_GB2312"/>
          <w:b/>
          <w:color w:val="auto"/>
          <w:szCs w:val="32"/>
          <w:u w:val="none"/>
          <w:lang w:eastAsia="zh-CN"/>
        </w:rPr>
        <w:t>九</w:t>
      </w:r>
      <w:r>
        <w:rPr>
          <w:rFonts w:eastAsia="仿宋_GB2312"/>
          <w:b/>
          <w:color w:val="auto"/>
          <w:szCs w:val="32"/>
          <w:u w:val="none"/>
        </w:rPr>
        <w:t>条</w:t>
      </w:r>
      <w:r>
        <w:rPr>
          <w:rFonts w:eastAsia="仿宋_GB2312"/>
          <w:color w:val="auto"/>
          <w:szCs w:val="32"/>
          <w:u w:val="none"/>
        </w:rPr>
        <w:t xml:space="preserve">  专家参与评审活动的权利</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（一）以个人身份独立提出意见和建议，不受任何单位或个人干预。</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（二）按照有关规定获取相应评审劳务报酬。</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（三）有权拒绝参加自己不熟悉的专业技术领域的评审活动。</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（四）可自愿退出专家库。</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第二十条</w:t>
      </w:r>
      <w:r>
        <w:rPr>
          <w:rFonts w:eastAsia="仿宋_GB2312"/>
          <w:color w:val="auto"/>
          <w:szCs w:val="32"/>
          <w:u w:val="none"/>
        </w:rPr>
        <w:t xml:space="preserve">  专家参与评审活动应履行以下义务</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（一）按照客观、公正、独立的原则参与评审评估等活动，提出专业意见，不得委托他人代评。</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（二）严格遵守工作纪律及保密规定，严禁泄露在评审评估过程中知悉的技术秘密、商业秘密和个人隐私。严禁泄露评审评估的内容、过程及结果等重要信息，不得侵犯被评审评估项目的知识产权。</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（三）参与评审评估的活动与本人或所在单位有利害关系，影响公正履行职责的，应当回避。</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（四）不得接受或索取被评审评估项目所属单位及有关单位和人员的馈赠、宴请或其他不正当利益。</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（五）如实填写个人有关信息资料，接受进入专家库的资格审验、信用评定。个人信息发生变动时，及时登录信息系统更新信息。</w:t>
      </w:r>
    </w:p>
    <w:p>
      <w:pPr>
        <w:adjustRightInd w:val="0"/>
        <w:snapToGrid w:val="0"/>
        <w:spacing w:line="560" w:lineRule="exact"/>
        <w:ind w:firstLine="632" w:firstLineChars="200"/>
        <w:rPr>
          <w:rFonts w:eastAsia="仿宋_GB2312"/>
          <w:color w:val="auto"/>
          <w:szCs w:val="32"/>
          <w:u w:val="none"/>
        </w:rPr>
      </w:pPr>
    </w:p>
    <w:p>
      <w:pPr>
        <w:adjustRightInd w:val="0"/>
        <w:snapToGrid w:val="0"/>
        <w:spacing w:line="560" w:lineRule="exact"/>
        <w:jc w:val="center"/>
        <w:rPr>
          <w:rFonts w:eastAsia="黑体"/>
          <w:color w:val="auto"/>
          <w:szCs w:val="32"/>
          <w:u w:val="none"/>
        </w:rPr>
      </w:pPr>
      <w:r>
        <w:rPr>
          <w:rFonts w:eastAsia="黑体"/>
          <w:color w:val="auto"/>
          <w:szCs w:val="32"/>
          <w:u w:val="none"/>
        </w:rPr>
        <w:t>第五章  监督管理</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第二十</w:t>
      </w:r>
      <w:r>
        <w:rPr>
          <w:rFonts w:hint="eastAsia" w:eastAsia="仿宋_GB2312"/>
          <w:b/>
          <w:color w:val="auto"/>
          <w:szCs w:val="32"/>
          <w:u w:val="none"/>
          <w:lang w:eastAsia="zh-CN"/>
        </w:rPr>
        <w:t>一</w:t>
      </w:r>
      <w:r>
        <w:rPr>
          <w:rFonts w:eastAsia="仿宋_GB2312"/>
          <w:b/>
          <w:color w:val="auto"/>
          <w:szCs w:val="32"/>
          <w:u w:val="none"/>
        </w:rPr>
        <w:t>条</w:t>
      </w:r>
      <w:r>
        <w:rPr>
          <w:rFonts w:eastAsia="仿宋_GB2312"/>
          <w:color w:val="auto"/>
          <w:szCs w:val="32"/>
          <w:u w:val="none"/>
        </w:rPr>
        <w:t xml:space="preserve">  科技厅对专家的评审活动进行监督。在评审过程中，发现专家存在徇私舞弊、不按规定进行评审、违反评审纪律和有关规定等行为的，应当终止该专家的评审活动，必要时重新组织评审。</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第二十</w:t>
      </w:r>
      <w:r>
        <w:rPr>
          <w:rFonts w:hint="eastAsia" w:eastAsia="仿宋_GB2312"/>
          <w:b/>
          <w:color w:val="auto"/>
          <w:szCs w:val="32"/>
          <w:u w:val="none"/>
          <w:lang w:eastAsia="zh-CN"/>
        </w:rPr>
        <w:t>二</w:t>
      </w:r>
      <w:r>
        <w:rPr>
          <w:rFonts w:eastAsia="仿宋_GB2312"/>
          <w:b/>
          <w:color w:val="auto"/>
          <w:szCs w:val="32"/>
          <w:u w:val="none"/>
        </w:rPr>
        <w:t>条</w:t>
      </w:r>
      <w:r>
        <w:rPr>
          <w:rFonts w:eastAsia="仿宋_GB2312"/>
          <w:color w:val="auto"/>
          <w:szCs w:val="32"/>
          <w:u w:val="none"/>
        </w:rPr>
        <w:t xml:space="preserve">  评审活动组织单位和个人不得擅自泄露评审专家信息和评审情况。</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第二十</w:t>
      </w:r>
      <w:r>
        <w:rPr>
          <w:rFonts w:hint="eastAsia" w:eastAsia="仿宋_GB2312"/>
          <w:b/>
          <w:color w:val="auto"/>
          <w:szCs w:val="32"/>
          <w:u w:val="none"/>
          <w:lang w:eastAsia="zh-CN"/>
        </w:rPr>
        <w:t>三</w:t>
      </w:r>
      <w:r>
        <w:rPr>
          <w:rFonts w:eastAsia="仿宋_GB2312"/>
          <w:b/>
          <w:color w:val="auto"/>
          <w:szCs w:val="32"/>
          <w:u w:val="none"/>
        </w:rPr>
        <w:t>条</w:t>
      </w:r>
      <w:r>
        <w:rPr>
          <w:rFonts w:eastAsia="仿宋_GB2312"/>
          <w:color w:val="auto"/>
          <w:szCs w:val="32"/>
          <w:u w:val="none"/>
        </w:rPr>
        <w:t xml:space="preserve">  科技厅应加强对专家库信息系统监督功能的建设，设置重要风险点预警模块，发现风险点及时提醒。使用专家库的单位有责任和义务确保专家库及专家个人信息的保密和安全。严禁私自复制、下载、泄露、转让或出售专家库中的信息和资料。</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第二十</w:t>
      </w:r>
      <w:r>
        <w:rPr>
          <w:rFonts w:hint="eastAsia" w:eastAsia="仿宋_GB2312"/>
          <w:b/>
          <w:color w:val="auto"/>
          <w:szCs w:val="32"/>
          <w:u w:val="none"/>
          <w:lang w:eastAsia="zh-CN"/>
        </w:rPr>
        <w:t>四</w:t>
      </w:r>
      <w:r>
        <w:rPr>
          <w:rFonts w:eastAsia="仿宋_GB2312"/>
          <w:b/>
          <w:color w:val="auto"/>
          <w:szCs w:val="32"/>
          <w:u w:val="none"/>
        </w:rPr>
        <w:t>条</w:t>
      </w:r>
      <w:r>
        <w:rPr>
          <w:rFonts w:eastAsia="仿宋_GB2312"/>
          <w:color w:val="auto"/>
          <w:szCs w:val="32"/>
          <w:u w:val="none"/>
        </w:rPr>
        <w:t xml:space="preserve">  使用专家库的单位存在以下行为之一的，经科技厅核实，暂停其使用专家库账户，整改到位后方可重新开放</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（一）将专家库的用户名及密码泄露给其他未经授权单位或个人的</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（二）私自复制、下载、转让或出售专家库中的信息和资料的</w:t>
      </w:r>
      <w:r>
        <w:rPr>
          <w:rFonts w:hint="eastAsia" w:eastAsia="仿宋_GB2312"/>
          <w:color w:val="auto"/>
          <w:szCs w:val="32"/>
          <w:u w:val="none"/>
        </w:rPr>
        <w:t>。</w:t>
      </w:r>
    </w:p>
    <w:p>
      <w:pPr>
        <w:adjustRightInd w:val="0"/>
        <w:snapToGrid w:val="0"/>
        <w:spacing w:line="560" w:lineRule="exact"/>
        <w:ind w:firstLine="632" w:firstLineChars="200"/>
        <w:rPr>
          <w:rFonts w:eastAsia="仿宋_GB2312"/>
          <w:color w:val="auto"/>
          <w:szCs w:val="32"/>
          <w:u w:val="none"/>
        </w:rPr>
      </w:pPr>
      <w:r>
        <w:rPr>
          <w:rFonts w:eastAsia="仿宋_GB2312"/>
          <w:color w:val="auto"/>
          <w:szCs w:val="32"/>
          <w:u w:val="none"/>
        </w:rPr>
        <w:t>（三）对专家进行恶意评价的。</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第二十</w:t>
      </w:r>
      <w:r>
        <w:rPr>
          <w:rFonts w:hint="eastAsia" w:eastAsia="仿宋_GB2312"/>
          <w:b/>
          <w:color w:val="auto"/>
          <w:szCs w:val="32"/>
          <w:u w:val="none"/>
          <w:lang w:eastAsia="zh-CN"/>
        </w:rPr>
        <w:t>五</w:t>
      </w:r>
      <w:r>
        <w:rPr>
          <w:rFonts w:eastAsia="仿宋_GB2312"/>
          <w:b/>
          <w:color w:val="auto"/>
          <w:szCs w:val="32"/>
          <w:u w:val="none"/>
        </w:rPr>
        <w:t>条</w:t>
      </w:r>
      <w:r>
        <w:rPr>
          <w:rFonts w:eastAsia="仿宋_GB2312"/>
          <w:color w:val="auto"/>
          <w:szCs w:val="32"/>
          <w:u w:val="none"/>
        </w:rPr>
        <w:t xml:space="preserve">  专家库建立痕迹管理机制。对专家选取、信息查看、专家评审、回避等活动进行全程操作留痕，做到相关操作记录可查询、可追溯。</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第二十</w:t>
      </w:r>
      <w:r>
        <w:rPr>
          <w:rFonts w:hint="eastAsia" w:eastAsia="仿宋_GB2312"/>
          <w:b/>
          <w:color w:val="auto"/>
          <w:szCs w:val="32"/>
          <w:u w:val="none"/>
          <w:lang w:eastAsia="zh-CN"/>
        </w:rPr>
        <w:t>六</w:t>
      </w:r>
      <w:r>
        <w:rPr>
          <w:rFonts w:eastAsia="仿宋_GB2312"/>
          <w:b/>
          <w:color w:val="auto"/>
          <w:szCs w:val="32"/>
          <w:u w:val="none"/>
        </w:rPr>
        <w:t>条</w:t>
      </w:r>
      <w:r>
        <w:rPr>
          <w:rFonts w:eastAsia="仿宋_GB2312"/>
          <w:color w:val="auto"/>
          <w:szCs w:val="32"/>
          <w:u w:val="none"/>
        </w:rPr>
        <w:t xml:space="preserve">  对专家库信息系统维护管理的单位和个人违反本办法的，由科技厅作出处理。因专家个人的违法、违规等行为对有关单位造成损失的，由涉事专家本人承担相应的责任。</w:t>
      </w:r>
    </w:p>
    <w:p>
      <w:pPr>
        <w:adjustRightInd w:val="0"/>
        <w:snapToGrid w:val="0"/>
        <w:spacing w:line="560" w:lineRule="exact"/>
        <w:ind w:firstLine="632" w:firstLineChars="200"/>
        <w:rPr>
          <w:color w:val="auto"/>
          <w:szCs w:val="32"/>
          <w:u w:val="none"/>
        </w:rPr>
      </w:pPr>
    </w:p>
    <w:p>
      <w:pPr>
        <w:adjustRightInd w:val="0"/>
        <w:snapToGrid w:val="0"/>
        <w:spacing w:line="560" w:lineRule="exact"/>
        <w:jc w:val="center"/>
        <w:rPr>
          <w:rFonts w:eastAsia="黑体"/>
          <w:color w:val="auto"/>
          <w:szCs w:val="32"/>
          <w:u w:val="none"/>
        </w:rPr>
      </w:pPr>
      <w:r>
        <w:rPr>
          <w:rFonts w:eastAsia="黑体"/>
          <w:color w:val="auto"/>
          <w:szCs w:val="32"/>
          <w:u w:val="none"/>
        </w:rPr>
        <w:t>第六章  附  则</w:t>
      </w:r>
    </w:p>
    <w:p>
      <w:pPr>
        <w:adjustRightInd w:val="0"/>
        <w:snapToGrid w:val="0"/>
        <w:spacing w:line="560" w:lineRule="exact"/>
        <w:ind w:firstLine="632" w:firstLineChars="200"/>
        <w:rPr>
          <w:rFonts w:eastAsia="仿宋_GB2312"/>
          <w:color w:val="auto"/>
          <w:szCs w:val="32"/>
          <w:u w:val="none"/>
        </w:rPr>
      </w:pPr>
      <w:r>
        <w:rPr>
          <w:rFonts w:eastAsia="仿宋_GB2312"/>
          <w:b/>
          <w:color w:val="auto"/>
          <w:szCs w:val="32"/>
          <w:u w:val="none"/>
        </w:rPr>
        <w:t>第二十</w:t>
      </w:r>
      <w:r>
        <w:rPr>
          <w:rFonts w:hint="eastAsia" w:eastAsia="仿宋_GB2312"/>
          <w:b/>
          <w:color w:val="auto"/>
          <w:szCs w:val="32"/>
          <w:u w:val="none"/>
          <w:lang w:eastAsia="zh-CN"/>
        </w:rPr>
        <w:t>七</w:t>
      </w:r>
      <w:r>
        <w:rPr>
          <w:rFonts w:eastAsia="仿宋_GB2312"/>
          <w:b/>
          <w:color w:val="auto"/>
          <w:szCs w:val="32"/>
          <w:u w:val="none"/>
        </w:rPr>
        <w:t>条</w:t>
      </w:r>
      <w:r>
        <w:rPr>
          <w:rFonts w:eastAsia="仿宋_GB2312"/>
          <w:color w:val="auto"/>
          <w:szCs w:val="32"/>
          <w:u w:val="none"/>
        </w:rPr>
        <w:tab/>
      </w:r>
      <w:r>
        <w:rPr>
          <w:rFonts w:eastAsia="仿宋_GB2312"/>
          <w:color w:val="auto"/>
          <w:szCs w:val="32"/>
          <w:u w:val="none"/>
        </w:rPr>
        <w:t>本办法由科技厅负责解释</w:t>
      </w:r>
      <w:r>
        <w:rPr>
          <w:rFonts w:hint="eastAsia" w:eastAsia="仿宋_GB2312"/>
          <w:color w:val="auto"/>
          <w:szCs w:val="32"/>
          <w:u w:val="none"/>
        </w:rPr>
        <w:t>。</w:t>
      </w:r>
    </w:p>
    <w:p>
      <w:pPr>
        <w:pBdr>
          <w:top w:val="none" w:color="auto" w:sz="0" w:space="0"/>
          <w:bottom w:val="none" w:color="auto" w:sz="0" w:space="0"/>
        </w:pBdr>
        <w:adjustRightInd w:val="0"/>
        <w:snapToGrid w:val="0"/>
        <w:spacing w:line="560" w:lineRule="exact"/>
        <w:ind w:firstLine="632" w:firstLineChars="200"/>
        <w:rPr>
          <w:rFonts w:eastAsia="仿宋_GB2312"/>
          <w:color w:val="auto"/>
          <w:sz w:val="28"/>
          <w:szCs w:val="28"/>
          <w:u w:val="none"/>
        </w:rPr>
      </w:pPr>
      <w:r>
        <w:rPr>
          <w:rFonts w:eastAsia="仿宋_GB2312"/>
          <w:b/>
          <w:color w:val="auto"/>
          <w:szCs w:val="32"/>
          <w:u w:val="none"/>
        </w:rPr>
        <w:t>第二十</w:t>
      </w:r>
      <w:r>
        <w:rPr>
          <w:rFonts w:hint="eastAsia" w:eastAsia="仿宋_GB2312"/>
          <w:b/>
          <w:color w:val="auto"/>
          <w:szCs w:val="32"/>
          <w:u w:val="none"/>
          <w:lang w:eastAsia="zh-CN"/>
        </w:rPr>
        <w:t>八</w:t>
      </w:r>
      <w:r>
        <w:rPr>
          <w:rFonts w:eastAsia="仿宋_GB2312"/>
          <w:b/>
          <w:color w:val="auto"/>
          <w:szCs w:val="32"/>
          <w:u w:val="none"/>
        </w:rPr>
        <w:t>条</w:t>
      </w:r>
      <w:r>
        <w:rPr>
          <w:rFonts w:eastAsia="仿宋_GB2312"/>
          <w:color w:val="auto"/>
          <w:szCs w:val="32"/>
          <w:u w:val="none"/>
        </w:rPr>
        <w:t xml:space="preserve">  本办法自202</w:t>
      </w:r>
      <w:r>
        <w:rPr>
          <w:rFonts w:hint="eastAsia" w:eastAsia="仿宋_GB2312"/>
          <w:color w:val="auto"/>
          <w:szCs w:val="32"/>
          <w:u w:val="none"/>
          <w:lang w:val="en-US" w:eastAsia="zh-CN"/>
        </w:rPr>
        <w:t>3</w:t>
      </w:r>
      <w:r>
        <w:rPr>
          <w:rFonts w:eastAsia="仿宋_GB2312"/>
          <w:color w:val="auto"/>
          <w:szCs w:val="32"/>
          <w:u w:val="none"/>
        </w:rPr>
        <w:t>年</w:t>
      </w:r>
      <w:r>
        <w:rPr>
          <w:rFonts w:hint="eastAsia" w:eastAsia="仿宋_GB2312"/>
          <w:color w:val="auto"/>
          <w:szCs w:val="32"/>
          <w:u w:val="none"/>
          <w:lang w:val="en-US" w:eastAsia="zh-CN"/>
        </w:rPr>
        <w:t xml:space="preserve"> </w:t>
      </w:r>
      <w:r>
        <w:rPr>
          <w:rFonts w:eastAsia="仿宋_GB2312"/>
          <w:color w:val="auto"/>
          <w:szCs w:val="32"/>
          <w:u w:val="none"/>
        </w:rPr>
        <w:t>月</w:t>
      </w:r>
      <w:r>
        <w:rPr>
          <w:rFonts w:hint="eastAsia" w:eastAsia="仿宋_GB2312"/>
          <w:color w:val="auto"/>
          <w:szCs w:val="32"/>
          <w:u w:val="none"/>
          <w:lang w:val="en-US" w:eastAsia="zh-CN"/>
        </w:rPr>
        <w:t xml:space="preserve"> </w:t>
      </w:r>
      <w:r>
        <w:rPr>
          <w:rFonts w:eastAsia="仿宋_GB2312"/>
          <w:color w:val="auto"/>
          <w:szCs w:val="32"/>
          <w:u w:val="none"/>
        </w:rPr>
        <w:t xml:space="preserve">日起施行。 </w:t>
      </w:r>
    </w:p>
    <w:sectPr>
      <w:footerReference r:id="rId3" w:type="default"/>
      <w:footerReference r:id="rId4" w:type="even"/>
      <w:pgSz w:w="11906" w:h="16838"/>
      <w:pgMar w:top="2098" w:right="1474" w:bottom="1985"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33762"/>
      <w:docPartObj>
        <w:docPartGallery w:val="autotext"/>
      </w:docPartObj>
    </w:sdtPr>
    <w:sdtEndPr>
      <w:rPr>
        <w:sz w:val="24"/>
        <w:szCs w:val="24"/>
      </w:rPr>
    </w:sdtEndPr>
    <w:sdtContent>
      <w:p>
        <w:pPr>
          <w:pStyle w:val="16"/>
          <w:ind w:right="270"/>
          <w:jc w:val="right"/>
        </w:pPr>
        <w:r>
          <w:rPr>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r>
          <w:rPr>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firstLineChars="150"/>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hideSpellingErrors/>
  <w:trackRevisions w:val="true"/>
  <w:documentProtection w:enforcement="0"/>
  <w:defaultTabStop w:val="420"/>
  <w:evenAndOddHeaders w:val="true"/>
  <w:drawingGridHorizontalSpacing w:val="158"/>
  <w:drawingGridVerticalSpacing w:val="579"/>
  <w:displayHorizont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2436"/>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8169D"/>
    <w:rsid w:val="00082DB2"/>
    <w:rsid w:val="00082E9B"/>
    <w:rsid w:val="0008476B"/>
    <w:rsid w:val="000920E8"/>
    <w:rsid w:val="00092340"/>
    <w:rsid w:val="000931EF"/>
    <w:rsid w:val="00093DBC"/>
    <w:rsid w:val="00096FE5"/>
    <w:rsid w:val="000A0B8B"/>
    <w:rsid w:val="000A2D5B"/>
    <w:rsid w:val="000A499B"/>
    <w:rsid w:val="000A739D"/>
    <w:rsid w:val="000A7F5C"/>
    <w:rsid w:val="000B10C8"/>
    <w:rsid w:val="000B5F20"/>
    <w:rsid w:val="000B6119"/>
    <w:rsid w:val="000C4EF5"/>
    <w:rsid w:val="000C7E89"/>
    <w:rsid w:val="000D3F67"/>
    <w:rsid w:val="000D48E6"/>
    <w:rsid w:val="000D5B79"/>
    <w:rsid w:val="000E1F66"/>
    <w:rsid w:val="000E546F"/>
    <w:rsid w:val="000E65BB"/>
    <w:rsid w:val="000E7484"/>
    <w:rsid w:val="000E7848"/>
    <w:rsid w:val="000E7F1F"/>
    <w:rsid w:val="000F1D2A"/>
    <w:rsid w:val="000F35D3"/>
    <w:rsid w:val="00101E85"/>
    <w:rsid w:val="00104ABF"/>
    <w:rsid w:val="001051D1"/>
    <w:rsid w:val="00105C29"/>
    <w:rsid w:val="00113941"/>
    <w:rsid w:val="00113DC7"/>
    <w:rsid w:val="00116887"/>
    <w:rsid w:val="00123F36"/>
    <w:rsid w:val="00127812"/>
    <w:rsid w:val="0013057A"/>
    <w:rsid w:val="0013072F"/>
    <w:rsid w:val="0013150C"/>
    <w:rsid w:val="00134990"/>
    <w:rsid w:val="00140439"/>
    <w:rsid w:val="00144845"/>
    <w:rsid w:val="00144CB2"/>
    <w:rsid w:val="00145149"/>
    <w:rsid w:val="00146484"/>
    <w:rsid w:val="00146E59"/>
    <w:rsid w:val="00153F2C"/>
    <w:rsid w:val="001552CA"/>
    <w:rsid w:val="00163781"/>
    <w:rsid w:val="00180C10"/>
    <w:rsid w:val="00181436"/>
    <w:rsid w:val="00181911"/>
    <w:rsid w:val="001828AF"/>
    <w:rsid w:val="00184455"/>
    <w:rsid w:val="00186A3D"/>
    <w:rsid w:val="00191EA4"/>
    <w:rsid w:val="00197CFC"/>
    <w:rsid w:val="001A0149"/>
    <w:rsid w:val="001A14A9"/>
    <w:rsid w:val="001A1FF5"/>
    <w:rsid w:val="001A2E33"/>
    <w:rsid w:val="001A3E6C"/>
    <w:rsid w:val="001A46C7"/>
    <w:rsid w:val="001B0051"/>
    <w:rsid w:val="001B21F9"/>
    <w:rsid w:val="001B4460"/>
    <w:rsid w:val="001B471C"/>
    <w:rsid w:val="001B6F26"/>
    <w:rsid w:val="001C0166"/>
    <w:rsid w:val="001C0EF5"/>
    <w:rsid w:val="001C2C34"/>
    <w:rsid w:val="001C7240"/>
    <w:rsid w:val="001C7BFC"/>
    <w:rsid w:val="001E5539"/>
    <w:rsid w:val="001E64A2"/>
    <w:rsid w:val="001E6A12"/>
    <w:rsid w:val="001F4691"/>
    <w:rsid w:val="001F630E"/>
    <w:rsid w:val="001F75E7"/>
    <w:rsid w:val="001F79DC"/>
    <w:rsid w:val="001F7A2D"/>
    <w:rsid w:val="00201718"/>
    <w:rsid w:val="00203EEB"/>
    <w:rsid w:val="00205136"/>
    <w:rsid w:val="002051EC"/>
    <w:rsid w:val="00210598"/>
    <w:rsid w:val="00210B75"/>
    <w:rsid w:val="00214EE2"/>
    <w:rsid w:val="002170CE"/>
    <w:rsid w:val="00224CFF"/>
    <w:rsid w:val="0022527C"/>
    <w:rsid w:val="0023043A"/>
    <w:rsid w:val="00235126"/>
    <w:rsid w:val="00240796"/>
    <w:rsid w:val="00240E9A"/>
    <w:rsid w:val="00243A9D"/>
    <w:rsid w:val="0024652B"/>
    <w:rsid w:val="0025125F"/>
    <w:rsid w:val="00251BFA"/>
    <w:rsid w:val="0025435A"/>
    <w:rsid w:val="002544D5"/>
    <w:rsid w:val="00254E0B"/>
    <w:rsid w:val="00260FD1"/>
    <w:rsid w:val="00262467"/>
    <w:rsid w:val="00262C80"/>
    <w:rsid w:val="00277114"/>
    <w:rsid w:val="00277C63"/>
    <w:rsid w:val="0028357E"/>
    <w:rsid w:val="002839FF"/>
    <w:rsid w:val="00285DFC"/>
    <w:rsid w:val="002917B3"/>
    <w:rsid w:val="00296CB8"/>
    <w:rsid w:val="00296F50"/>
    <w:rsid w:val="00297163"/>
    <w:rsid w:val="002A16E4"/>
    <w:rsid w:val="002A29FB"/>
    <w:rsid w:val="002A4320"/>
    <w:rsid w:val="002A4EE7"/>
    <w:rsid w:val="002A7166"/>
    <w:rsid w:val="002B04F9"/>
    <w:rsid w:val="002B2D79"/>
    <w:rsid w:val="002B72D2"/>
    <w:rsid w:val="002B7436"/>
    <w:rsid w:val="002C5A45"/>
    <w:rsid w:val="002D0109"/>
    <w:rsid w:val="002D0322"/>
    <w:rsid w:val="002D207F"/>
    <w:rsid w:val="002D5800"/>
    <w:rsid w:val="002E025E"/>
    <w:rsid w:val="002E2BD7"/>
    <w:rsid w:val="002E6C17"/>
    <w:rsid w:val="002F6126"/>
    <w:rsid w:val="002F7BB6"/>
    <w:rsid w:val="00300DC4"/>
    <w:rsid w:val="003014AC"/>
    <w:rsid w:val="0030233F"/>
    <w:rsid w:val="00302D57"/>
    <w:rsid w:val="00304141"/>
    <w:rsid w:val="00312034"/>
    <w:rsid w:val="0031249D"/>
    <w:rsid w:val="00320915"/>
    <w:rsid w:val="00321BCF"/>
    <w:rsid w:val="00321EB3"/>
    <w:rsid w:val="00324243"/>
    <w:rsid w:val="003260E6"/>
    <w:rsid w:val="003320B1"/>
    <w:rsid w:val="003343F7"/>
    <w:rsid w:val="0033492B"/>
    <w:rsid w:val="00334B9A"/>
    <w:rsid w:val="00346139"/>
    <w:rsid w:val="00355419"/>
    <w:rsid w:val="0035757D"/>
    <w:rsid w:val="00357DC3"/>
    <w:rsid w:val="0036163A"/>
    <w:rsid w:val="00361CBE"/>
    <w:rsid w:val="003625E4"/>
    <w:rsid w:val="003753B4"/>
    <w:rsid w:val="0037709F"/>
    <w:rsid w:val="0037743F"/>
    <w:rsid w:val="00377F55"/>
    <w:rsid w:val="00382DE8"/>
    <w:rsid w:val="00391663"/>
    <w:rsid w:val="00394E1A"/>
    <w:rsid w:val="00395217"/>
    <w:rsid w:val="00396946"/>
    <w:rsid w:val="00397046"/>
    <w:rsid w:val="00397424"/>
    <w:rsid w:val="003A1490"/>
    <w:rsid w:val="003A3063"/>
    <w:rsid w:val="003A5275"/>
    <w:rsid w:val="003B1B30"/>
    <w:rsid w:val="003B5871"/>
    <w:rsid w:val="003C3C4E"/>
    <w:rsid w:val="003D0434"/>
    <w:rsid w:val="003D050C"/>
    <w:rsid w:val="003D201B"/>
    <w:rsid w:val="003D280E"/>
    <w:rsid w:val="003D3D0A"/>
    <w:rsid w:val="003D48C2"/>
    <w:rsid w:val="003D7B77"/>
    <w:rsid w:val="003D7BE0"/>
    <w:rsid w:val="003E2CC8"/>
    <w:rsid w:val="003F1168"/>
    <w:rsid w:val="003F16FD"/>
    <w:rsid w:val="003F1EBA"/>
    <w:rsid w:val="003F34B0"/>
    <w:rsid w:val="003F63C6"/>
    <w:rsid w:val="00400C96"/>
    <w:rsid w:val="00405A48"/>
    <w:rsid w:val="00405EDB"/>
    <w:rsid w:val="004079A3"/>
    <w:rsid w:val="00410E95"/>
    <w:rsid w:val="00413C77"/>
    <w:rsid w:val="00426ED7"/>
    <w:rsid w:val="00427274"/>
    <w:rsid w:val="00430C4A"/>
    <w:rsid w:val="004317A2"/>
    <w:rsid w:val="00434C52"/>
    <w:rsid w:val="0044100F"/>
    <w:rsid w:val="00442884"/>
    <w:rsid w:val="004448B4"/>
    <w:rsid w:val="0044550C"/>
    <w:rsid w:val="00450CAC"/>
    <w:rsid w:val="00460756"/>
    <w:rsid w:val="004628F3"/>
    <w:rsid w:val="00466E93"/>
    <w:rsid w:val="00470885"/>
    <w:rsid w:val="00470B48"/>
    <w:rsid w:val="004737D2"/>
    <w:rsid w:val="00473F31"/>
    <w:rsid w:val="00476806"/>
    <w:rsid w:val="00477B76"/>
    <w:rsid w:val="00480171"/>
    <w:rsid w:val="00481FD0"/>
    <w:rsid w:val="00486BEB"/>
    <w:rsid w:val="00490236"/>
    <w:rsid w:val="0049030D"/>
    <w:rsid w:val="00491AFA"/>
    <w:rsid w:val="00493CE5"/>
    <w:rsid w:val="00496FB6"/>
    <w:rsid w:val="004A15D0"/>
    <w:rsid w:val="004A6A6C"/>
    <w:rsid w:val="004A6E37"/>
    <w:rsid w:val="004A74E0"/>
    <w:rsid w:val="004B06CE"/>
    <w:rsid w:val="004B0B5C"/>
    <w:rsid w:val="004B1F32"/>
    <w:rsid w:val="004B3518"/>
    <w:rsid w:val="004B4397"/>
    <w:rsid w:val="004B43C9"/>
    <w:rsid w:val="004C0A53"/>
    <w:rsid w:val="004C0E58"/>
    <w:rsid w:val="004C3FF4"/>
    <w:rsid w:val="004C6AB5"/>
    <w:rsid w:val="004D3EB5"/>
    <w:rsid w:val="004E2117"/>
    <w:rsid w:val="004E4081"/>
    <w:rsid w:val="004E5BF5"/>
    <w:rsid w:val="004E7646"/>
    <w:rsid w:val="004E7A39"/>
    <w:rsid w:val="004F097E"/>
    <w:rsid w:val="004F13D7"/>
    <w:rsid w:val="004F1999"/>
    <w:rsid w:val="004F285C"/>
    <w:rsid w:val="004F6652"/>
    <w:rsid w:val="004F6895"/>
    <w:rsid w:val="005047AC"/>
    <w:rsid w:val="00504F1C"/>
    <w:rsid w:val="00512843"/>
    <w:rsid w:val="005129BF"/>
    <w:rsid w:val="005164FF"/>
    <w:rsid w:val="00522C28"/>
    <w:rsid w:val="00523BCE"/>
    <w:rsid w:val="00532E9C"/>
    <w:rsid w:val="00534C7C"/>
    <w:rsid w:val="0053607D"/>
    <w:rsid w:val="00543405"/>
    <w:rsid w:val="0054591A"/>
    <w:rsid w:val="00546A7C"/>
    <w:rsid w:val="005478EB"/>
    <w:rsid w:val="00551CF7"/>
    <w:rsid w:val="0056197D"/>
    <w:rsid w:val="005657C9"/>
    <w:rsid w:val="00567370"/>
    <w:rsid w:val="005678C0"/>
    <w:rsid w:val="0057756C"/>
    <w:rsid w:val="0058214F"/>
    <w:rsid w:val="00583925"/>
    <w:rsid w:val="0058455B"/>
    <w:rsid w:val="005911C5"/>
    <w:rsid w:val="005942D5"/>
    <w:rsid w:val="00595A4C"/>
    <w:rsid w:val="00596561"/>
    <w:rsid w:val="005A1F86"/>
    <w:rsid w:val="005A23BF"/>
    <w:rsid w:val="005A28B2"/>
    <w:rsid w:val="005A4729"/>
    <w:rsid w:val="005B0F72"/>
    <w:rsid w:val="005B1613"/>
    <w:rsid w:val="005B3322"/>
    <w:rsid w:val="005B6249"/>
    <w:rsid w:val="005C1141"/>
    <w:rsid w:val="005C170E"/>
    <w:rsid w:val="005C2262"/>
    <w:rsid w:val="005C5735"/>
    <w:rsid w:val="005D10A3"/>
    <w:rsid w:val="005D33C5"/>
    <w:rsid w:val="005D43BF"/>
    <w:rsid w:val="005D5F5F"/>
    <w:rsid w:val="005E0D0B"/>
    <w:rsid w:val="005E7456"/>
    <w:rsid w:val="005E7DC5"/>
    <w:rsid w:val="005F4439"/>
    <w:rsid w:val="00605996"/>
    <w:rsid w:val="006074E0"/>
    <w:rsid w:val="00610F4D"/>
    <w:rsid w:val="00621293"/>
    <w:rsid w:val="006220D7"/>
    <w:rsid w:val="00622160"/>
    <w:rsid w:val="006232A7"/>
    <w:rsid w:val="006243F8"/>
    <w:rsid w:val="00624A08"/>
    <w:rsid w:val="00626270"/>
    <w:rsid w:val="00626ADD"/>
    <w:rsid w:val="006408AF"/>
    <w:rsid w:val="00642D40"/>
    <w:rsid w:val="0064413A"/>
    <w:rsid w:val="006459BB"/>
    <w:rsid w:val="006470F7"/>
    <w:rsid w:val="00652767"/>
    <w:rsid w:val="00653057"/>
    <w:rsid w:val="006546D1"/>
    <w:rsid w:val="0065478D"/>
    <w:rsid w:val="00657DBF"/>
    <w:rsid w:val="00660410"/>
    <w:rsid w:val="006636E1"/>
    <w:rsid w:val="00664822"/>
    <w:rsid w:val="006655CC"/>
    <w:rsid w:val="006720FF"/>
    <w:rsid w:val="006778E8"/>
    <w:rsid w:val="0068113B"/>
    <w:rsid w:val="00681B22"/>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2845"/>
    <w:rsid w:val="006D6095"/>
    <w:rsid w:val="006D7726"/>
    <w:rsid w:val="006E1E47"/>
    <w:rsid w:val="006E3224"/>
    <w:rsid w:val="006E5902"/>
    <w:rsid w:val="006E6B1B"/>
    <w:rsid w:val="006F2B69"/>
    <w:rsid w:val="006F2B9A"/>
    <w:rsid w:val="006F5DAD"/>
    <w:rsid w:val="006F753E"/>
    <w:rsid w:val="00700291"/>
    <w:rsid w:val="00702E16"/>
    <w:rsid w:val="007044B9"/>
    <w:rsid w:val="007076DF"/>
    <w:rsid w:val="0071490A"/>
    <w:rsid w:val="00724760"/>
    <w:rsid w:val="007256E6"/>
    <w:rsid w:val="00731B84"/>
    <w:rsid w:val="00733428"/>
    <w:rsid w:val="00733E9B"/>
    <w:rsid w:val="007411D1"/>
    <w:rsid w:val="00741A14"/>
    <w:rsid w:val="00741A28"/>
    <w:rsid w:val="00741F69"/>
    <w:rsid w:val="0074337A"/>
    <w:rsid w:val="007476B2"/>
    <w:rsid w:val="0074787F"/>
    <w:rsid w:val="00754178"/>
    <w:rsid w:val="00754DB2"/>
    <w:rsid w:val="0075774E"/>
    <w:rsid w:val="007632E7"/>
    <w:rsid w:val="00766037"/>
    <w:rsid w:val="00772438"/>
    <w:rsid w:val="00772775"/>
    <w:rsid w:val="007743A8"/>
    <w:rsid w:val="00774A70"/>
    <w:rsid w:val="0078257B"/>
    <w:rsid w:val="00782A07"/>
    <w:rsid w:val="00785716"/>
    <w:rsid w:val="00786CAD"/>
    <w:rsid w:val="007873FF"/>
    <w:rsid w:val="007874B1"/>
    <w:rsid w:val="007A19C0"/>
    <w:rsid w:val="007A54E3"/>
    <w:rsid w:val="007A575C"/>
    <w:rsid w:val="007A7348"/>
    <w:rsid w:val="007B259F"/>
    <w:rsid w:val="007B2625"/>
    <w:rsid w:val="007B2BE6"/>
    <w:rsid w:val="007B4620"/>
    <w:rsid w:val="007B547C"/>
    <w:rsid w:val="007C060A"/>
    <w:rsid w:val="007C2054"/>
    <w:rsid w:val="007C4D5D"/>
    <w:rsid w:val="007C589C"/>
    <w:rsid w:val="007C7A6B"/>
    <w:rsid w:val="007D34D6"/>
    <w:rsid w:val="007D35CA"/>
    <w:rsid w:val="007D3802"/>
    <w:rsid w:val="007D5B45"/>
    <w:rsid w:val="007E1390"/>
    <w:rsid w:val="007E3498"/>
    <w:rsid w:val="007E62BE"/>
    <w:rsid w:val="007E76DA"/>
    <w:rsid w:val="007F57AD"/>
    <w:rsid w:val="007F58BC"/>
    <w:rsid w:val="007F5963"/>
    <w:rsid w:val="007F7B93"/>
    <w:rsid w:val="008001B5"/>
    <w:rsid w:val="00805101"/>
    <w:rsid w:val="0081010B"/>
    <w:rsid w:val="008200DF"/>
    <w:rsid w:val="00820F45"/>
    <w:rsid w:val="00822E41"/>
    <w:rsid w:val="00825B6B"/>
    <w:rsid w:val="00826519"/>
    <w:rsid w:val="008268A3"/>
    <w:rsid w:val="008310CF"/>
    <w:rsid w:val="00831A42"/>
    <w:rsid w:val="00833CF4"/>
    <w:rsid w:val="008343B1"/>
    <w:rsid w:val="00837D83"/>
    <w:rsid w:val="00837FEA"/>
    <w:rsid w:val="00845898"/>
    <w:rsid w:val="00851D31"/>
    <w:rsid w:val="00852CAD"/>
    <w:rsid w:val="0085396E"/>
    <w:rsid w:val="00855073"/>
    <w:rsid w:val="00864E87"/>
    <w:rsid w:val="008660C0"/>
    <w:rsid w:val="0086711A"/>
    <w:rsid w:val="00870A4D"/>
    <w:rsid w:val="008730CB"/>
    <w:rsid w:val="00874106"/>
    <w:rsid w:val="008769BD"/>
    <w:rsid w:val="00876A57"/>
    <w:rsid w:val="0088223E"/>
    <w:rsid w:val="008834F1"/>
    <w:rsid w:val="008838D4"/>
    <w:rsid w:val="008931A8"/>
    <w:rsid w:val="008931B8"/>
    <w:rsid w:val="008952D1"/>
    <w:rsid w:val="008A0C23"/>
    <w:rsid w:val="008A29A0"/>
    <w:rsid w:val="008A68C0"/>
    <w:rsid w:val="008A6CC5"/>
    <w:rsid w:val="008B492E"/>
    <w:rsid w:val="008B7952"/>
    <w:rsid w:val="008C04C1"/>
    <w:rsid w:val="008C174B"/>
    <w:rsid w:val="008C236F"/>
    <w:rsid w:val="008C304E"/>
    <w:rsid w:val="008C3149"/>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7871"/>
    <w:rsid w:val="00920E40"/>
    <w:rsid w:val="009210BF"/>
    <w:rsid w:val="00942692"/>
    <w:rsid w:val="009434C5"/>
    <w:rsid w:val="00944665"/>
    <w:rsid w:val="0094594C"/>
    <w:rsid w:val="0095183A"/>
    <w:rsid w:val="00957636"/>
    <w:rsid w:val="0096005C"/>
    <w:rsid w:val="00963521"/>
    <w:rsid w:val="00964019"/>
    <w:rsid w:val="0097074F"/>
    <w:rsid w:val="00971C8B"/>
    <w:rsid w:val="00972271"/>
    <w:rsid w:val="009727C6"/>
    <w:rsid w:val="00976244"/>
    <w:rsid w:val="00982966"/>
    <w:rsid w:val="0099542C"/>
    <w:rsid w:val="00995D84"/>
    <w:rsid w:val="009A05D2"/>
    <w:rsid w:val="009A06A4"/>
    <w:rsid w:val="009A3523"/>
    <w:rsid w:val="009A55DF"/>
    <w:rsid w:val="009A5748"/>
    <w:rsid w:val="009A6367"/>
    <w:rsid w:val="009A672D"/>
    <w:rsid w:val="009B4175"/>
    <w:rsid w:val="009B4F42"/>
    <w:rsid w:val="009C007B"/>
    <w:rsid w:val="009C1277"/>
    <w:rsid w:val="009C1A77"/>
    <w:rsid w:val="009C22C6"/>
    <w:rsid w:val="009C7D84"/>
    <w:rsid w:val="009D0357"/>
    <w:rsid w:val="009D4736"/>
    <w:rsid w:val="009E1DAF"/>
    <w:rsid w:val="009E37CD"/>
    <w:rsid w:val="009E52F8"/>
    <w:rsid w:val="009E5F58"/>
    <w:rsid w:val="009E65FA"/>
    <w:rsid w:val="009E7F3F"/>
    <w:rsid w:val="009F0947"/>
    <w:rsid w:val="009F0E50"/>
    <w:rsid w:val="009F0EA4"/>
    <w:rsid w:val="009F1C88"/>
    <w:rsid w:val="009F5D85"/>
    <w:rsid w:val="009F7C37"/>
    <w:rsid w:val="00A01A98"/>
    <w:rsid w:val="00A01EDA"/>
    <w:rsid w:val="00A02863"/>
    <w:rsid w:val="00A04262"/>
    <w:rsid w:val="00A05CF4"/>
    <w:rsid w:val="00A102CE"/>
    <w:rsid w:val="00A12756"/>
    <w:rsid w:val="00A13708"/>
    <w:rsid w:val="00A169DF"/>
    <w:rsid w:val="00A20234"/>
    <w:rsid w:val="00A22294"/>
    <w:rsid w:val="00A24B21"/>
    <w:rsid w:val="00A270C4"/>
    <w:rsid w:val="00A30348"/>
    <w:rsid w:val="00A309E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82692"/>
    <w:rsid w:val="00A917ED"/>
    <w:rsid w:val="00A96B8D"/>
    <w:rsid w:val="00A96C66"/>
    <w:rsid w:val="00A97E4F"/>
    <w:rsid w:val="00AA35BF"/>
    <w:rsid w:val="00AA3F93"/>
    <w:rsid w:val="00AA42A7"/>
    <w:rsid w:val="00AA7721"/>
    <w:rsid w:val="00AA78C8"/>
    <w:rsid w:val="00AB45C9"/>
    <w:rsid w:val="00AC11D4"/>
    <w:rsid w:val="00AD4542"/>
    <w:rsid w:val="00AD6E60"/>
    <w:rsid w:val="00AD7BCE"/>
    <w:rsid w:val="00AE045B"/>
    <w:rsid w:val="00AE35D5"/>
    <w:rsid w:val="00AE491E"/>
    <w:rsid w:val="00AF1118"/>
    <w:rsid w:val="00AF2E6F"/>
    <w:rsid w:val="00AF3D7B"/>
    <w:rsid w:val="00B0017F"/>
    <w:rsid w:val="00B022DA"/>
    <w:rsid w:val="00B02812"/>
    <w:rsid w:val="00B04BEC"/>
    <w:rsid w:val="00B04F8B"/>
    <w:rsid w:val="00B05C7B"/>
    <w:rsid w:val="00B10430"/>
    <w:rsid w:val="00B13476"/>
    <w:rsid w:val="00B13C85"/>
    <w:rsid w:val="00B16FEB"/>
    <w:rsid w:val="00B20FCE"/>
    <w:rsid w:val="00B210F7"/>
    <w:rsid w:val="00B23A29"/>
    <w:rsid w:val="00B24798"/>
    <w:rsid w:val="00B27FE7"/>
    <w:rsid w:val="00B31175"/>
    <w:rsid w:val="00B364D6"/>
    <w:rsid w:val="00B3700B"/>
    <w:rsid w:val="00B41813"/>
    <w:rsid w:val="00B419C7"/>
    <w:rsid w:val="00B43A88"/>
    <w:rsid w:val="00B45CF7"/>
    <w:rsid w:val="00B466F1"/>
    <w:rsid w:val="00B51A9C"/>
    <w:rsid w:val="00B53B8E"/>
    <w:rsid w:val="00B53D34"/>
    <w:rsid w:val="00B5401C"/>
    <w:rsid w:val="00B54A2C"/>
    <w:rsid w:val="00B60578"/>
    <w:rsid w:val="00B60E2D"/>
    <w:rsid w:val="00B64271"/>
    <w:rsid w:val="00B73FED"/>
    <w:rsid w:val="00B7483E"/>
    <w:rsid w:val="00B74F1B"/>
    <w:rsid w:val="00B75214"/>
    <w:rsid w:val="00B75893"/>
    <w:rsid w:val="00B765C2"/>
    <w:rsid w:val="00B873DB"/>
    <w:rsid w:val="00B87659"/>
    <w:rsid w:val="00B95EDA"/>
    <w:rsid w:val="00B96680"/>
    <w:rsid w:val="00B972EC"/>
    <w:rsid w:val="00BB02EE"/>
    <w:rsid w:val="00BB2671"/>
    <w:rsid w:val="00BB2FE3"/>
    <w:rsid w:val="00BB45C2"/>
    <w:rsid w:val="00BB6AFC"/>
    <w:rsid w:val="00BB7933"/>
    <w:rsid w:val="00BC0069"/>
    <w:rsid w:val="00BC1A4A"/>
    <w:rsid w:val="00BC7D42"/>
    <w:rsid w:val="00BD20B8"/>
    <w:rsid w:val="00BD4E0B"/>
    <w:rsid w:val="00BD5110"/>
    <w:rsid w:val="00BD7094"/>
    <w:rsid w:val="00BD7C37"/>
    <w:rsid w:val="00BE30F7"/>
    <w:rsid w:val="00BE5E89"/>
    <w:rsid w:val="00BF047D"/>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609"/>
    <w:rsid w:val="00C61967"/>
    <w:rsid w:val="00C619AC"/>
    <w:rsid w:val="00C62A26"/>
    <w:rsid w:val="00C66475"/>
    <w:rsid w:val="00C718DA"/>
    <w:rsid w:val="00C71D88"/>
    <w:rsid w:val="00C72362"/>
    <w:rsid w:val="00C834ED"/>
    <w:rsid w:val="00C83B29"/>
    <w:rsid w:val="00C859CB"/>
    <w:rsid w:val="00C86AD2"/>
    <w:rsid w:val="00C9120A"/>
    <w:rsid w:val="00C9351B"/>
    <w:rsid w:val="00C952A7"/>
    <w:rsid w:val="00CB1B41"/>
    <w:rsid w:val="00CB3297"/>
    <w:rsid w:val="00CB7C78"/>
    <w:rsid w:val="00CC08A7"/>
    <w:rsid w:val="00CC113B"/>
    <w:rsid w:val="00CC4303"/>
    <w:rsid w:val="00CD0D53"/>
    <w:rsid w:val="00CD1F57"/>
    <w:rsid w:val="00CD1F8F"/>
    <w:rsid w:val="00CD3496"/>
    <w:rsid w:val="00CD396F"/>
    <w:rsid w:val="00CD4DA7"/>
    <w:rsid w:val="00CE1FE8"/>
    <w:rsid w:val="00CE40F7"/>
    <w:rsid w:val="00CE53D0"/>
    <w:rsid w:val="00CF34F3"/>
    <w:rsid w:val="00CF4230"/>
    <w:rsid w:val="00CF438E"/>
    <w:rsid w:val="00D01167"/>
    <w:rsid w:val="00D01498"/>
    <w:rsid w:val="00D01646"/>
    <w:rsid w:val="00D05677"/>
    <w:rsid w:val="00D1278F"/>
    <w:rsid w:val="00D13517"/>
    <w:rsid w:val="00D16F91"/>
    <w:rsid w:val="00D226AC"/>
    <w:rsid w:val="00D22E7A"/>
    <w:rsid w:val="00D252F7"/>
    <w:rsid w:val="00D26628"/>
    <w:rsid w:val="00D2735D"/>
    <w:rsid w:val="00D30154"/>
    <w:rsid w:val="00D30F66"/>
    <w:rsid w:val="00D32A81"/>
    <w:rsid w:val="00D33780"/>
    <w:rsid w:val="00D419F5"/>
    <w:rsid w:val="00D42F4F"/>
    <w:rsid w:val="00D44D6C"/>
    <w:rsid w:val="00D46A19"/>
    <w:rsid w:val="00D56008"/>
    <w:rsid w:val="00D61CDE"/>
    <w:rsid w:val="00D62DAA"/>
    <w:rsid w:val="00D63573"/>
    <w:rsid w:val="00D643E9"/>
    <w:rsid w:val="00D65CEA"/>
    <w:rsid w:val="00D67827"/>
    <w:rsid w:val="00D8007A"/>
    <w:rsid w:val="00D818D4"/>
    <w:rsid w:val="00D821A6"/>
    <w:rsid w:val="00D82D6F"/>
    <w:rsid w:val="00D831B6"/>
    <w:rsid w:val="00D85C8C"/>
    <w:rsid w:val="00D86766"/>
    <w:rsid w:val="00D870F4"/>
    <w:rsid w:val="00D9089B"/>
    <w:rsid w:val="00D93874"/>
    <w:rsid w:val="00D94034"/>
    <w:rsid w:val="00DA08D9"/>
    <w:rsid w:val="00DA2505"/>
    <w:rsid w:val="00DA6956"/>
    <w:rsid w:val="00DB22D2"/>
    <w:rsid w:val="00DB2608"/>
    <w:rsid w:val="00DB74F8"/>
    <w:rsid w:val="00DB7BD9"/>
    <w:rsid w:val="00DC0694"/>
    <w:rsid w:val="00DC483D"/>
    <w:rsid w:val="00DC6614"/>
    <w:rsid w:val="00DD2E75"/>
    <w:rsid w:val="00DD2E76"/>
    <w:rsid w:val="00DD3DC9"/>
    <w:rsid w:val="00DD73B1"/>
    <w:rsid w:val="00DE211A"/>
    <w:rsid w:val="00DE2132"/>
    <w:rsid w:val="00DE6FF8"/>
    <w:rsid w:val="00DF4E6B"/>
    <w:rsid w:val="00DF7F6B"/>
    <w:rsid w:val="00E03605"/>
    <w:rsid w:val="00E03CB0"/>
    <w:rsid w:val="00E04052"/>
    <w:rsid w:val="00E04BED"/>
    <w:rsid w:val="00E050B2"/>
    <w:rsid w:val="00E0570C"/>
    <w:rsid w:val="00E06DC7"/>
    <w:rsid w:val="00E12A3B"/>
    <w:rsid w:val="00E1596F"/>
    <w:rsid w:val="00E16EEE"/>
    <w:rsid w:val="00E21ACF"/>
    <w:rsid w:val="00E262D1"/>
    <w:rsid w:val="00E26BAC"/>
    <w:rsid w:val="00E27E10"/>
    <w:rsid w:val="00E30CA0"/>
    <w:rsid w:val="00E32BF7"/>
    <w:rsid w:val="00E337F9"/>
    <w:rsid w:val="00E347BC"/>
    <w:rsid w:val="00E351B2"/>
    <w:rsid w:val="00E41305"/>
    <w:rsid w:val="00E413A4"/>
    <w:rsid w:val="00E44F8D"/>
    <w:rsid w:val="00E5030A"/>
    <w:rsid w:val="00E5132E"/>
    <w:rsid w:val="00E54FCF"/>
    <w:rsid w:val="00E558AB"/>
    <w:rsid w:val="00E62505"/>
    <w:rsid w:val="00E63C19"/>
    <w:rsid w:val="00E734FE"/>
    <w:rsid w:val="00E738A0"/>
    <w:rsid w:val="00E747DA"/>
    <w:rsid w:val="00E75CD6"/>
    <w:rsid w:val="00E76BB9"/>
    <w:rsid w:val="00E8094E"/>
    <w:rsid w:val="00E80A9F"/>
    <w:rsid w:val="00E81332"/>
    <w:rsid w:val="00E81F47"/>
    <w:rsid w:val="00E83567"/>
    <w:rsid w:val="00E84DF4"/>
    <w:rsid w:val="00E85B48"/>
    <w:rsid w:val="00EA5287"/>
    <w:rsid w:val="00EA6C3A"/>
    <w:rsid w:val="00EB5438"/>
    <w:rsid w:val="00EC0C97"/>
    <w:rsid w:val="00EC322E"/>
    <w:rsid w:val="00EC329D"/>
    <w:rsid w:val="00EC6F6D"/>
    <w:rsid w:val="00ED33ED"/>
    <w:rsid w:val="00ED35F5"/>
    <w:rsid w:val="00ED7FFA"/>
    <w:rsid w:val="00EE2D31"/>
    <w:rsid w:val="00EE4266"/>
    <w:rsid w:val="00EE779D"/>
    <w:rsid w:val="00EF4966"/>
    <w:rsid w:val="00EF5ABD"/>
    <w:rsid w:val="00EF609F"/>
    <w:rsid w:val="00EF7EE8"/>
    <w:rsid w:val="00F0180D"/>
    <w:rsid w:val="00F069F9"/>
    <w:rsid w:val="00F06DF1"/>
    <w:rsid w:val="00F101D9"/>
    <w:rsid w:val="00F1265F"/>
    <w:rsid w:val="00F14839"/>
    <w:rsid w:val="00F2173F"/>
    <w:rsid w:val="00F22705"/>
    <w:rsid w:val="00F25CA8"/>
    <w:rsid w:val="00F25DD9"/>
    <w:rsid w:val="00F27076"/>
    <w:rsid w:val="00F27E87"/>
    <w:rsid w:val="00F35046"/>
    <w:rsid w:val="00F354A0"/>
    <w:rsid w:val="00F36157"/>
    <w:rsid w:val="00F366F6"/>
    <w:rsid w:val="00F36A4E"/>
    <w:rsid w:val="00F36ABB"/>
    <w:rsid w:val="00F37415"/>
    <w:rsid w:val="00F40C99"/>
    <w:rsid w:val="00F4657E"/>
    <w:rsid w:val="00F505A4"/>
    <w:rsid w:val="00F509E7"/>
    <w:rsid w:val="00F63CAF"/>
    <w:rsid w:val="00F704AC"/>
    <w:rsid w:val="00F70CEF"/>
    <w:rsid w:val="00F71DE3"/>
    <w:rsid w:val="00F734D0"/>
    <w:rsid w:val="00F746D7"/>
    <w:rsid w:val="00F74CC5"/>
    <w:rsid w:val="00F754CB"/>
    <w:rsid w:val="00F7727F"/>
    <w:rsid w:val="00F80176"/>
    <w:rsid w:val="00F80CFF"/>
    <w:rsid w:val="00F81021"/>
    <w:rsid w:val="00F91333"/>
    <w:rsid w:val="00F950B4"/>
    <w:rsid w:val="00F974E9"/>
    <w:rsid w:val="00FA09AE"/>
    <w:rsid w:val="00FA1790"/>
    <w:rsid w:val="00FA6314"/>
    <w:rsid w:val="00FA6650"/>
    <w:rsid w:val="00FB379F"/>
    <w:rsid w:val="00FB5669"/>
    <w:rsid w:val="00FB6D93"/>
    <w:rsid w:val="00FC04D0"/>
    <w:rsid w:val="00FC1346"/>
    <w:rsid w:val="00FC1653"/>
    <w:rsid w:val="00FD1473"/>
    <w:rsid w:val="00FD23B1"/>
    <w:rsid w:val="00FD3590"/>
    <w:rsid w:val="00FD4238"/>
    <w:rsid w:val="00FD43F8"/>
    <w:rsid w:val="00FD56EA"/>
    <w:rsid w:val="00FE20FE"/>
    <w:rsid w:val="00FE6BFF"/>
    <w:rsid w:val="00FF1FA5"/>
    <w:rsid w:val="00FF2F5D"/>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D24383"/>
    <w:rsid w:val="19EB3CF8"/>
    <w:rsid w:val="1A767E64"/>
    <w:rsid w:val="1CCE16F6"/>
    <w:rsid w:val="1DAE77DB"/>
    <w:rsid w:val="1DB51E05"/>
    <w:rsid w:val="1EFD6CB6"/>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4B33629"/>
    <w:rsid w:val="358A21E3"/>
    <w:rsid w:val="36304F87"/>
    <w:rsid w:val="376A2452"/>
    <w:rsid w:val="38093FA6"/>
    <w:rsid w:val="386530AD"/>
    <w:rsid w:val="3A1F166E"/>
    <w:rsid w:val="3A3522D5"/>
    <w:rsid w:val="3A6962CB"/>
    <w:rsid w:val="3A8478F6"/>
    <w:rsid w:val="3B1403CF"/>
    <w:rsid w:val="3B7977E0"/>
    <w:rsid w:val="3B9C69A2"/>
    <w:rsid w:val="3C7630B4"/>
    <w:rsid w:val="3CB93B6F"/>
    <w:rsid w:val="3CF96DD5"/>
    <w:rsid w:val="3DE92FCC"/>
    <w:rsid w:val="3E4A7136"/>
    <w:rsid w:val="3E8F6868"/>
    <w:rsid w:val="3FA94591"/>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203403"/>
    <w:rsid w:val="4E624327"/>
    <w:rsid w:val="4E6E0C2E"/>
    <w:rsid w:val="4FBD221E"/>
    <w:rsid w:val="5007227E"/>
    <w:rsid w:val="51043206"/>
    <w:rsid w:val="5149518E"/>
    <w:rsid w:val="51B6568A"/>
    <w:rsid w:val="52D3527B"/>
    <w:rsid w:val="531224C9"/>
    <w:rsid w:val="5380363A"/>
    <w:rsid w:val="53B07102"/>
    <w:rsid w:val="54D456D9"/>
    <w:rsid w:val="54F245D2"/>
    <w:rsid w:val="55A67462"/>
    <w:rsid w:val="55EF4496"/>
    <w:rsid w:val="57C25FD3"/>
    <w:rsid w:val="58485B82"/>
    <w:rsid w:val="589B46B9"/>
    <w:rsid w:val="5A313B01"/>
    <w:rsid w:val="5A8E7083"/>
    <w:rsid w:val="5B6D5061"/>
    <w:rsid w:val="5BC84B42"/>
    <w:rsid w:val="5D0F28D6"/>
    <w:rsid w:val="5E8464CC"/>
    <w:rsid w:val="5E8F29EE"/>
    <w:rsid w:val="5EBD24C9"/>
    <w:rsid w:val="5F150732"/>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7E36E72"/>
    <w:rsid w:val="68DF2C99"/>
    <w:rsid w:val="6B2861C3"/>
    <w:rsid w:val="6BA12F67"/>
    <w:rsid w:val="6D0972F4"/>
    <w:rsid w:val="6D6D6796"/>
    <w:rsid w:val="6E191187"/>
    <w:rsid w:val="6E6C3185"/>
    <w:rsid w:val="6FA925DE"/>
    <w:rsid w:val="70E93679"/>
    <w:rsid w:val="7105238E"/>
    <w:rsid w:val="7115709B"/>
    <w:rsid w:val="71911E6D"/>
    <w:rsid w:val="71A7701B"/>
    <w:rsid w:val="72667171"/>
    <w:rsid w:val="73C121C4"/>
    <w:rsid w:val="78825D13"/>
    <w:rsid w:val="78DB4E08"/>
    <w:rsid w:val="796206B9"/>
    <w:rsid w:val="7A1B571A"/>
    <w:rsid w:val="7AD62E87"/>
    <w:rsid w:val="7CA82D31"/>
    <w:rsid w:val="7CD23236"/>
    <w:rsid w:val="7CD32DA8"/>
    <w:rsid w:val="7D3F4D67"/>
    <w:rsid w:val="7DB41F2E"/>
    <w:rsid w:val="7DBE453D"/>
    <w:rsid w:val="7DFB3603"/>
    <w:rsid w:val="7F76591D"/>
    <w:rsid w:val="7FDF4615"/>
    <w:rsid w:val="7FFF90D5"/>
    <w:rsid w:val="ADF4675A"/>
    <w:rsid w:val="AFE33A7C"/>
    <w:rsid w:val="D3DFEDC4"/>
    <w:rsid w:val="ED761B0C"/>
    <w:rsid w:val="FAF6967E"/>
    <w:rsid w:val="FDCF2C1E"/>
    <w:rsid w:val="FFFFDE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1"/>
    <w:basedOn w:val="1"/>
    <w:next w:val="1"/>
    <w:link w:val="31"/>
    <w:qFormat/>
    <w:locked/>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32"/>
    <w:qFormat/>
    <w:locked/>
    <w:uiPriority w:val="99"/>
    <w:pPr>
      <w:keepNext/>
      <w:widowControl/>
      <w:spacing w:line="595" w:lineRule="exact"/>
      <w:ind w:firstLine="200" w:firstLineChars="200"/>
      <w:jc w:val="left"/>
      <w:outlineLvl w:val="1"/>
    </w:pPr>
    <w:rPr>
      <w:rFonts w:ascii="Cambria" w:hAnsi="Cambria" w:eastAsia="黑体"/>
      <w:bCs/>
      <w:iCs/>
      <w:kern w:val="0"/>
      <w:szCs w:val="28"/>
    </w:rPr>
  </w:style>
  <w:style w:type="paragraph" w:styleId="4">
    <w:name w:val="heading 3"/>
    <w:basedOn w:val="1"/>
    <w:next w:val="1"/>
    <w:link w:val="33"/>
    <w:qFormat/>
    <w:locked/>
    <w:uiPriority w:val="99"/>
    <w:pPr>
      <w:keepNext/>
      <w:widowControl/>
      <w:spacing w:line="595" w:lineRule="exact"/>
      <w:ind w:firstLine="200" w:firstLineChars="200"/>
      <w:jc w:val="left"/>
      <w:outlineLvl w:val="2"/>
    </w:pPr>
    <w:rPr>
      <w:rFonts w:ascii="Cambria" w:hAnsi="Cambria" w:eastAsia="楷体_GB2312"/>
      <w:b/>
      <w:kern w:val="0"/>
      <w:szCs w:val="26"/>
    </w:rPr>
  </w:style>
  <w:style w:type="paragraph" w:styleId="5">
    <w:name w:val="heading 4"/>
    <w:basedOn w:val="1"/>
    <w:next w:val="1"/>
    <w:link w:val="34"/>
    <w:qFormat/>
    <w:locked/>
    <w:uiPriority w:val="99"/>
    <w:pPr>
      <w:keepNext/>
      <w:keepLines/>
      <w:spacing w:line="372" w:lineRule="auto"/>
      <w:outlineLvl w:val="3"/>
    </w:pPr>
    <w:rPr>
      <w:rFonts w:ascii="Arial" w:hAnsi="Arial" w:eastAsia="黑体"/>
      <w:b/>
      <w:sz w:val="28"/>
    </w:rPr>
  </w:style>
  <w:style w:type="paragraph" w:styleId="6">
    <w:name w:val="heading 5"/>
    <w:basedOn w:val="1"/>
    <w:next w:val="1"/>
    <w:link w:val="35"/>
    <w:qFormat/>
    <w:locked/>
    <w:uiPriority w:val="99"/>
    <w:pPr>
      <w:keepNext/>
      <w:keepLines/>
      <w:spacing w:line="372" w:lineRule="auto"/>
      <w:outlineLvl w:val="4"/>
    </w:pPr>
    <w:rPr>
      <w:b/>
      <w:sz w:val="28"/>
    </w:rPr>
  </w:style>
  <w:style w:type="paragraph" w:styleId="7">
    <w:name w:val="heading 6"/>
    <w:basedOn w:val="1"/>
    <w:next w:val="1"/>
    <w:link w:val="36"/>
    <w:qFormat/>
    <w:locked/>
    <w:uiPriority w:val="99"/>
    <w:pPr>
      <w:keepNext/>
      <w:keepLines/>
      <w:spacing w:line="317" w:lineRule="auto"/>
      <w:outlineLvl w:val="5"/>
    </w:pPr>
    <w:rPr>
      <w:rFonts w:ascii="Arial" w:hAnsi="Arial" w:eastAsia="黑体"/>
      <w:b/>
      <w:sz w:val="24"/>
    </w:rPr>
  </w:style>
  <w:style w:type="paragraph" w:styleId="8">
    <w:name w:val="heading 7"/>
    <w:basedOn w:val="1"/>
    <w:next w:val="1"/>
    <w:link w:val="37"/>
    <w:qFormat/>
    <w:locked/>
    <w:uiPriority w:val="99"/>
    <w:pPr>
      <w:keepNext/>
      <w:keepLines/>
      <w:spacing w:line="317" w:lineRule="auto"/>
      <w:outlineLvl w:val="6"/>
    </w:pPr>
    <w:rPr>
      <w:b/>
      <w:sz w:val="24"/>
    </w:rPr>
  </w:style>
  <w:style w:type="paragraph" w:styleId="9">
    <w:name w:val="heading 8"/>
    <w:basedOn w:val="1"/>
    <w:next w:val="1"/>
    <w:link w:val="38"/>
    <w:qFormat/>
    <w:locked/>
    <w:uiPriority w:val="99"/>
    <w:pPr>
      <w:keepNext/>
      <w:keepLines/>
      <w:spacing w:line="317" w:lineRule="auto"/>
      <w:outlineLvl w:val="7"/>
    </w:pPr>
    <w:rPr>
      <w:rFonts w:ascii="Arial" w:hAnsi="Arial" w:eastAsia="黑体"/>
      <w:sz w:val="24"/>
    </w:rPr>
  </w:style>
  <w:style w:type="paragraph" w:styleId="10">
    <w:name w:val="heading 9"/>
    <w:basedOn w:val="1"/>
    <w:next w:val="1"/>
    <w:link w:val="39"/>
    <w:qFormat/>
    <w:locked/>
    <w:uiPriority w:val="99"/>
    <w:pPr>
      <w:keepNext/>
      <w:keepLines/>
      <w:spacing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67"/>
    <w:semiHidden/>
    <w:qFormat/>
    <w:uiPriority w:val="99"/>
    <w:rPr>
      <w:rFonts w:ascii="宋体"/>
      <w:sz w:val="18"/>
      <w:szCs w:val="18"/>
    </w:rPr>
  </w:style>
  <w:style w:type="paragraph" w:styleId="12">
    <w:name w:val="annotation text"/>
    <w:basedOn w:val="1"/>
    <w:link w:val="40"/>
    <w:qFormat/>
    <w:uiPriority w:val="99"/>
    <w:pPr>
      <w:jc w:val="left"/>
    </w:pPr>
  </w:style>
  <w:style w:type="paragraph" w:styleId="13">
    <w:name w:val="Date"/>
    <w:basedOn w:val="1"/>
    <w:next w:val="1"/>
    <w:link w:val="68"/>
    <w:semiHidden/>
    <w:unhideWhenUsed/>
    <w:qFormat/>
    <w:uiPriority w:val="99"/>
    <w:pPr>
      <w:ind w:left="100" w:leftChars="2500"/>
    </w:pPr>
  </w:style>
  <w:style w:type="paragraph" w:styleId="14">
    <w:name w:val="Body Text Indent 2"/>
    <w:basedOn w:val="1"/>
    <w:link w:val="41"/>
    <w:qFormat/>
    <w:uiPriority w:val="99"/>
    <w:pPr>
      <w:widowControl/>
      <w:spacing w:before="100" w:beforeAutospacing="1" w:after="100" w:afterAutospacing="1"/>
      <w:jc w:val="left"/>
    </w:pPr>
    <w:rPr>
      <w:rFonts w:ascii="宋体" w:hAnsi="宋体"/>
      <w:kern w:val="0"/>
      <w:sz w:val="24"/>
      <w:szCs w:val="24"/>
    </w:rPr>
  </w:style>
  <w:style w:type="paragraph" w:styleId="15">
    <w:name w:val="Balloon Text"/>
    <w:basedOn w:val="1"/>
    <w:link w:val="42"/>
    <w:semiHidden/>
    <w:qFormat/>
    <w:uiPriority w:val="99"/>
    <w:rPr>
      <w:sz w:val="18"/>
      <w:szCs w:val="18"/>
    </w:rPr>
  </w:style>
  <w:style w:type="paragraph" w:styleId="16">
    <w:name w:val="footer"/>
    <w:basedOn w:val="1"/>
    <w:link w:val="43"/>
    <w:qFormat/>
    <w:uiPriority w:val="99"/>
    <w:pPr>
      <w:tabs>
        <w:tab w:val="center" w:pos="4153"/>
        <w:tab w:val="right" w:pos="8306"/>
      </w:tabs>
      <w:snapToGrid w:val="0"/>
      <w:jc w:val="left"/>
    </w:pPr>
    <w:rPr>
      <w:sz w:val="18"/>
    </w:rPr>
  </w:style>
  <w:style w:type="paragraph" w:styleId="17">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99"/>
    <w:pPr>
      <w:widowControl/>
      <w:spacing w:after="100" w:line="276" w:lineRule="auto"/>
      <w:jc w:val="left"/>
    </w:pPr>
    <w:rPr>
      <w:rFonts w:ascii="Calibri" w:hAnsi="Calibri"/>
      <w:kern w:val="0"/>
      <w:sz w:val="22"/>
      <w:szCs w:val="22"/>
    </w:rPr>
  </w:style>
  <w:style w:type="paragraph" w:styleId="19">
    <w:name w:val="Subtitle"/>
    <w:basedOn w:val="1"/>
    <w:link w:val="47"/>
    <w:qFormat/>
    <w:locked/>
    <w:uiPriority w:val="99"/>
    <w:pPr>
      <w:spacing w:line="312" w:lineRule="auto"/>
      <w:jc w:val="center"/>
      <w:outlineLvl w:val="1"/>
    </w:pPr>
    <w:rPr>
      <w:rFonts w:ascii="Arial" w:hAnsi="Arial"/>
      <w:b/>
      <w:kern w:val="28"/>
    </w:rPr>
  </w:style>
  <w:style w:type="paragraph" w:styleId="20">
    <w:name w:val="toc 2"/>
    <w:basedOn w:val="1"/>
    <w:next w:val="1"/>
    <w:qFormat/>
    <w:uiPriority w:val="99"/>
    <w:pPr>
      <w:widowControl/>
      <w:spacing w:after="100" w:line="276" w:lineRule="auto"/>
      <w:ind w:left="220"/>
      <w:jc w:val="left"/>
    </w:pPr>
    <w:rPr>
      <w:rFonts w:ascii="Calibri" w:hAnsi="Calibri"/>
      <w:kern w:val="0"/>
      <w:sz w:val="22"/>
      <w:szCs w:val="22"/>
    </w:rPr>
  </w:style>
  <w:style w:type="paragraph" w:styleId="21">
    <w:name w:val="Normal (Web)"/>
    <w:basedOn w:val="1"/>
    <w:qFormat/>
    <w:uiPriority w:val="99"/>
    <w:pPr>
      <w:widowControl/>
      <w:spacing w:line="360" w:lineRule="auto"/>
      <w:ind w:firstLine="200" w:firstLineChars="200"/>
      <w:jc w:val="left"/>
    </w:pPr>
    <w:rPr>
      <w:rFonts w:eastAsia="仿宋_GB2312"/>
      <w:kern w:val="0"/>
      <w:sz w:val="24"/>
      <w:szCs w:val="24"/>
    </w:rPr>
  </w:style>
  <w:style w:type="paragraph" w:styleId="22">
    <w:name w:val="Title"/>
    <w:basedOn w:val="1"/>
    <w:link w:val="48"/>
    <w:qFormat/>
    <w:locked/>
    <w:uiPriority w:val="99"/>
    <w:pPr>
      <w:adjustRightInd w:val="0"/>
      <w:snapToGrid w:val="0"/>
      <w:spacing w:line="560" w:lineRule="exact"/>
      <w:jc w:val="center"/>
      <w:outlineLvl w:val="0"/>
    </w:pPr>
    <w:rPr>
      <w:rFonts w:ascii="方正小标宋_GBK" w:hAnsi="Arial" w:eastAsia="方正小标宋_GBK"/>
      <w:sz w:val="44"/>
    </w:rPr>
  </w:style>
  <w:style w:type="paragraph" w:styleId="23">
    <w:name w:val="annotation subject"/>
    <w:basedOn w:val="12"/>
    <w:next w:val="12"/>
    <w:link w:val="49"/>
    <w:semiHidden/>
    <w:qFormat/>
    <w:uiPriority w:val="99"/>
    <w:rPr>
      <w:b/>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rFonts w:cs="Times New Roman"/>
      <w:b/>
      <w:bCs/>
    </w:rPr>
  </w:style>
  <w:style w:type="character" w:styleId="28">
    <w:name w:val="page number"/>
    <w:basedOn w:val="26"/>
    <w:semiHidden/>
    <w:qFormat/>
    <w:uiPriority w:val="99"/>
    <w:rPr>
      <w:rFonts w:cs="Times New Roman"/>
    </w:rPr>
  </w:style>
  <w:style w:type="character" w:styleId="29">
    <w:name w:val="Emphasis"/>
    <w:basedOn w:val="26"/>
    <w:qFormat/>
    <w:uiPriority w:val="99"/>
    <w:rPr>
      <w:rFonts w:cs="Times New Roman"/>
    </w:rPr>
  </w:style>
  <w:style w:type="character" w:styleId="30">
    <w:name w:val="Hyperlink"/>
    <w:basedOn w:val="26"/>
    <w:qFormat/>
    <w:uiPriority w:val="99"/>
    <w:rPr>
      <w:rFonts w:cs="Times New Roman"/>
      <w:color w:val="0000FF"/>
      <w:u w:val="single"/>
    </w:rPr>
  </w:style>
  <w:style w:type="character" w:customStyle="1" w:styleId="31">
    <w:name w:val="标题 1 Char"/>
    <w:basedOn w:val="26"/>
    <w:link w:val="2"/>
    <w:qFormat/>
    <w:locked/>
    <w:uiPriority w:val="99"/>
    <w:rPr>
      <w:rFonts w:ascii="宋体" w:eastAsia="宋体" w:cs="Times New Roman"/>
      <w:b/>
      <w:kern w:val="44"/>
      <w:sz w:val="48"/>
      <w:szCs w:val="48"/>
    </w:rPr>
  </w:style>
  <w:style w:type="character" w:customStyle="1" w:styleId="32">
    <w:name w:val="标题 2 Char"/>
    <w:basedOn w:val="26"/>
    <w:link w:val="3"/>
    <w:qFormat/>
    <w:locked/>
    <w:uiPriority w:val="99"/>
    <w:rPr>
      <w:rFonts w:ascii="Cambria" w:hAnsi="Cambria" w:eastAsia="黑体" w:cs="Times New Roman"/>
      <w:bCs/>
      <w:iCs/>
      <w:sz w:val="28"/>
      <w:szCs w:val="28"/>
    </w:rPr>
  </w:style>
  <w:style w:type="character" w:customStyle="1" w:styleId="33">
    <w:name w:val="标题 3 Char"/>
    <w:basedOn w:val="26"/>
    <w:link w:val="4"/>
    <w:qFormat/>
    <w:locked/>
    <w:uiPriority w:val="99"/>
    <w:rPr>
      <w:rFonts w:ascii="Cambria" w:hAnsi="Cambria" w:eastAsia="楷体_GB2312" w:cs="Times New Roman"/>
      <w:b/>
      <w:sz w:val="26"/>
      <w:szCs w:val="26"/>
    </w:rPr>
  </w:style>
  <w:style w:type="character" w:customStyle="1" w:styleId="34">
    <w:name w:val="标题 4 Char"/>
    <w:basedOn w:val="26"/>
    <w:link w:val="5"/>
    <w:qFormat/>
    <w:locked/>
    <w:uiPriority w:val="99"/>
    <w:rPr>
      <w:rFonts w:ascii="Arial" w:hAnsi="Arial" w:eastAsia="黑体" w:cs="Times New Roman"/>
      <w:b/>
      <w:kern w:val="2"/>
      <w:sz w:val="28"/>
    </w:rPr>
  </w:style>
  <w:style w:type="character" w:customStyle="1" w:styleId="35">
    <w:name w:val="标题 5 Char"/>
    <w:basedOn w:val="26"/>
    <w:link w:val="6"/>
    <w:qFormat/>
    <w:locked/>
    <w:uiPriority w:val="99"/>
    <w:rPr>
      <w:rFonts w:cs="Times New Roman"/>
      <w:b/>
      <w:kern w:val="2"/>
      <w:sz w:val="28"/>
    </w:rPr>
  </w:style>
  <w:style w:type="character" w:customStyle="1" w:styleId="36">
    <w:name w:val="标题 6 Char"/>
    <w:basedOn w:val="26"/>
    <w:link w:val="7"/>
    <w:qFormat/>
    <w:locked/>
    <w:uiPriority w:val="99"/>
    <w:rPr>
      <w:rFonts w:ascii="Arial" w:hAnsi="Arial" w:eastAsia="黑体" w:cs="Times New Roman"/>
      <w:b/>
      <w:kern w:val="2"/>
      <w:sz w:val="24"/>
    </w:rPr>
  </w:style>
  <w:style w:type="character" w:customStyle="1" w:styleId="37">
    <w:name w:val="标题 7 Char"/>
    <w:basedOn w:val="26"/>
    <w:link w:val="8"/>
    <w:qFormat/>
    <w:locked/>
    <w:uiPriority w:val="99"/>
    <w:rPr>
      <w:rFonts w:cs="Times New Roman"/>
      <w:b/>
      <w:kern w:val="2"/>
      <w:sz w:val="24"/>
    </w:rPr>
  </w:style>
  <w:style w:type="character" w:customStyle="1" w:styleId="38">
    <w:name w:val="标题 8 Char"/>
    <w:basedOn w:val="26"/>
    <w:link w:val="9"/>
    <w:qFormat/>
    <w:locked/>
    <w:uiPriority w:val="99"/>
    <w:rPr>
      <w:rFonts w:ascii="Arial" w:hAnsi="Arial" w:eastAsia="黑体" w:cs="Times New Roman"/>
      <w:kern w:val="2"/>
      <w:sz w:val="24"/>
    </w:rPr>
  </w:style>
  <w:style w:type="character" w:customStyle="1" w:styleId="39">
    <w:name w:val="标题 9 Char"/>
    <w:basedOn w:val="26"/>
    <w:link w:val="10"/>
    <w:qFormat/>
    <w:locked/>
    <w:uiPriority w:val="99"/>
    <w:rPr>
      <w:rFonts w:ascii="Arial" w:hAnsi="Arial" w:eastAsia="黑体" w:cs="Times New Roman"/>
      <w:kern w:val="2"/>
      <w:sz w:val="21"/>
    </w:rPr>
  </w:style>
  <w:style w:type="character" w:customStyle="1" w:styleId="40">
    <w:name w:val="批注文字 Char"/>
    <w:basedOn w:val="26"/>
    <w:link w:val="12"/>
    <w:qFormat/>
    <w:locked/>
    <w:uiPriority w:val="99"/>
    <w:rPr>
      <w:rFonts w:ascii="Times New Roman" w:hAnsi="Times New Roman" w:cs="Times New Roman"/>
      <w:sz w:val="20"/>
      <w:szCs w:val="20"/>
    </w:rPr>
  </w:style>
  <w:style w:type="character" w:customStyle="1" w:styleId="41">
    <w:name w:val="正文文本缩进 2 Char"/>
    <w:basedOn w:val="26"/>
    <w:link w:val="14"/>
    <w:qFormat/>
    <w:locked/>
    <w:uiPriority w:val="99"/>
    <w:rPr>
      <w:rFonts w:ascii="Times New Roman" w:hAnsi="Times New Roman" w:cs="Times New Roman"/>
      <w:sz w:val="20"/>
      <w:szCs w:val="20"/>
    </w:rPr>
  </w:style>
  <w:style w:type="character" w:customStyle="1" w:styleId="42">
    <w:name w:val="批注框文本 Char"/>
    <w:basedOn w:val="26"/>
    <w:link w:val="15"/>
    <w:semiHidden/>
    <w:qFormat/>
    <w:locked/>
    <w:uiPriority w:val="99"/>
    <w:rPr>
      <w:rFonts w:ascii="Times New Roman" w:hAnsi="Times New Roman" w:cs="Times New Roman"/>
      <w:sz w:val="2"/>
    </w:rPr>
  </w:style>
  <w:style w:type="character" w:customStyle="1" w:styleId="43">
    <w:name w:val="页脚 Char"/>
    <w:basedOn w:val="26"/>
    <w:link w:val="16"/>
    <w:qFormat/>
    <w:locked/>
    <w:uiPriority w:val="99"/>
    <w:rPr>
      <w:rFonts w:ascii="Times New Roman" w:hAnsi="Times New Roman" w:cs="Times New Roman"/>
      <w:sz w:val="18"/>
      <w:szCs w:val="18"/>
    </w:rPr>
  </w:style>
  <w:style w:type="character" w:customStyle="1" w:styleId="44">
    <w:name w:val="页眉 Char"/>
    <w:basedOn w:val="26"/>
    <w:link w:val="17"/>
    <w:qFormat/>
    <w:locked/>
    <w:uiPriority w:val="99"/>
    <w:rPr>
      <w:rFonts w:ascii="Times New Roman" w:hAnsi="Times New Roman" w:cs="Times New Roman"/>
      <w:sz w:val="18"/>
      <w:szCs w:val="18"/>
    </w:rPr>
  </w:style>
  <w:style w:type="paragraph" w:styleId="45">
    <w:name w:val="List Paragraph"/>
    <w:basedOn w:val="1"/>
    <w:qFormat/>
    <w:uiPriority w:val="34"/>
    <w:pPr>
      <w:ind w:firstLine="420" w:firstLineChars="200"/>
    </w:pPr>
  </w:style>
  <w:style w:type="paragraph" w:styleId="46">
    <w:name w:val="No Spacing"/>
    <w:qFormat/>
    <w:uiPriority w:val="99"/>
    <w:pPr>
      <w:widowControl w:val="0"/>
      <w:jc w:val="both"/>
    </w:pPr>
    <w:rPr>
      <w:rFonts w:ascii="Times New Roman" w:hAnsi="Times New Roman" w:eastAsia="仿宋_GB2312" w:cs="Times New Roman"/>
      <w:kern w:val="2"/>
      <w:sz w:val="32"/>
      <w:lang w:val="en-US" w:eastAsia="zh-CN" w:bidi="ar-SA"/>
    </w:rPr>
  </w:style>
  <w:style w:type="character" w:customStyle="1" w:styleId="47">
    <w:name w:val="副标题 Char"/>
    <w:basedOn w:val="26"/>
    <w:link w:val="19"/>
    <w:qFormat/>
    <w:locked/>
    <w:uiPriority w:val="99"/>
    <w:rPr>
      <w:rFonts w:ascii="Arial" w:hAnsi="Arial" w:cs="Times New Roman"/>
      <w:b/>
      <w:kern w:val="28"/>
      <w:sz w:val="32"/>
    </w:rPr>
  </w:style>
  <w:style w:type="character" w:customStyle="1" w:styleId="48">
    <w:name w:val="标题 Char"/>
    <w:basedOn w:val="26"/>
    <w:link w:val="22"/>
    <w:qFormat/>
    <w:locked/>
    <w:uiPriority w:val="99"/>
    <w:rPr>
      <w:rFonts w:ascii="方正小标宋_GBK" w:hAnsi="Arial" w:eastAsia="方正小标宋_GBK" w:cs="Times New Roman"/>
      <w:kern w:val="2"/>
      <w:sz w:val="44"/>
    </w:rPr>
  </w:style>
  <w:style w:type="character" w:customStyle="1" w:styleId="49">
    <w:name w:val="批注主题 Char1"/>
    <w:basedOn w:val="26"/>
    <w:link w:val="23"/>
    <w:semiHidden/>
    <w:qFormat/>
    <w:locked/>
    <w:uiPriority w:val="99"/>
    <w:rPr>
      <w:rFonts w:cs="Times New Roman"/>
      <w:b/>
      <w:kern w:val="2"/>
      <w:sz w:val="21"/>
    </w:rPr>
  </w:style>
  <w:style w:type="character" w:customStyle="1" w:styleId="50">
    <w:name w:val="批注主题 Char"/>
    <w:basedOn w:val="40"/>
    <w:qFormat/>
    <w:uiPriority w:val="99"/>
    <w:rPr>
      <w:rFonts w:ascii="Times New Roman" w:hAnsi="Times New Roman" w:cs="Times New Roman"/>
      <w:b/>
      <w:bCs/>
      <w:kern w:val="2"/>
      <w:sz w:val="20"/>
      <w:szCs w:val="20"/>
    </w:rPr>
  </w:style>
  <w:style w:type="character" w:customStyle="1" w:styleId="51">
    <w:name w:val="明显引用 Char"/>
    <w:basedOn w:val="26"/>
    <w:qFormat/>
    <w:uiPriority w:val="99"/>
    <w:rPr>
      <w:rFonts w:cs="Times New Roman"/>
      <w:b/>
      <w:i/>
      <w:sz w:val="24"/>
    </w:rPr>
  </w:style>
  <w:style w:type="character" w:customStyle="1" w:styleId="52">
    <w:name w:val="msosubtleemphasis"/>
    <w:basedOn w:val="26"/>
    <w:qFormat/>
    <w:uiPriority w:val="99"/>
    <w:rPr>
      <w:rFonts w:cs="Times New Roman"/>
      <w:i/>
      <w:color w:val="5A5A5A"/>
    </w:rPr>
  </w:style>
  <w:style w:type="character" w:customStyle="1" w:styleId="53">
    <w:name w:val="msosubtlereference"/>
    <w:basedOn w:val="26"/>
    <w:qFormat/>
    <w:uiPriority w:val="99"/>
    <w:rPr>
      <w:rFonts w:cs="Times New Roman"/>
      <w:sz w:val="24"/>
      <w:szCs w:val="24"/>
      <w:u w:val="single"/>
    </w:rPr>
  </w:style>
  <w:style w:type="character" w:customStyle="1" w:styleId="54">
    <w:name w:val="msointenseemphasis"/>
    <w:basedOn w:val="26"/>
    <w:qFormat/>
    <w:uiPriority w:val="99"/>
    <w:rPr>
      <w:rFonts w:cs="Times New Roman"/>
      <w:b/>
      <w:i/>
      <w:sz w:val="24"/>
      <w:szCs w:val="24"/>
      <w:u w:val="single"/>
    </w:rPr>
  </w:style>
  <w:style w:type="paragraph" w:customStyle="1" w:styleId="55">
    <w:name w:val="msonospacing"/>
    <w:basedOn w:val="1"/>
    <w:qFormat/>
    <w:uiPriority w:val="99"/>
    <w:pPr>
      <w:widowControl/>
      <w:spacing w:line="595" w:lineRule="exact"/>
      <w:ind w:firstLine="200" w:firstLineChars="200"/>
      <w:jc w:val="left"/>
    </w:pPr>
    <w:rPr>
      <w:rFonts w:ascii="Calibri" w:hAnsi="Calibri" w:eastAsia="仿宋_GB2312"/>
      <w:kern w:val="0"/>
      <w:szCs w:val="32"/>
    </w:rPr>
  </w:style>
  <w:style w:type="character" w:customStyle="1" w:styleId="56">
    <w:name w:val="msointensereference"/>
    <w:basedOn w:val="26"/>
    <w:qFormat/>
    <w:uiPriority w:val="99"/>
    <w:rPr>
      <w:rFonts w:cs="Times New Roman"/>
      <w:b/>
      <w:sz w:val="24"/>
      <w:u w:val="single"/>
    </w:rPr>
  </w:style>
  <w:style w:type="paragraph" w:customStyle="1" w:styleId="57">
    <w:name w:val="msolistparagraph"/>
    <w:basedOn w:val="1"/>
    <w:qFormat/>
    <w:uiPriority w:val="99"/>
    <w:pPr>
      <w:widowControl/>
      <w:spacing w:line="595" w:lineRule="exact"/>
      <w:ind w:left="720" w:firstLine="200" w:firstLineChars="200"/>
      <w:contextualSpacing/>
      <w:jc w:val="left"/>
    </w:pPr>
    <w:rPr>
      <w:rFonts w:ascii="Calibri" w:hAnsi="Calibri" w:eastAsia="仿宋_GB2312"/>
      <w:kern w:val="0"/>
      <w:szCs w:val="24"/>
    </w:rPr>
  </w:style>
  <w:style w:type="character" w:customStyle="1" w:styleId="58">
    <w:name w:val="纯文本 Char"/>
    <w:basedOn w:val="26"/>
    <w:qFormat/>
    <w:uiPriority w:val="99"/>
    <w:rPr>
      <w:rFonts w:ascii="宋体" w:hAnsi="Courier New" w:eastAsia="宋体" w:cs="宋体"/>
      <w:sz w:val="21"/>
      <w:szCs w:val="21"/>
    </w:rPr>
  </w:style>
  <w:style w:type="paragraph" w:customStyle="1" w:styleId="59">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character" w:customStyle="1" w:styleId="60">
    <w:name w:val="msobooktitle"/>
    <w:basedOn w:val="26"/>
    <w:qFormat/>
    <w:uiPriority w:val="99"/>
    <w:rPr>
      <w:rFonts w:ascii="Cambria" w:hAnsi="Cambria" w:eastAsia="宋体" w:cs="Cambria"/>
      <w:b/>
      <w:i/>
      <w:sz w:val="24"/>
      <w:szCs w:val="24"/>
    </w:rPr>
  </w:style>
  <w:style w:type="character" w:customStyle="1" w:styleId="61">
    <w:name w:val="纯文本 Char1"/>
    <w:basedOn w:val="26"/>
    <w:qFormat/>
    <w:uiPriority w:val="99"/>
    <w:rPr>
      <w:rFonts w:ascii="宋体" w:hAnsi="Courier New" w:eastAsia="宋体" w:cs="Courier New"/>
      <w:sz w:val="21"/>
      <w:szCs w:val="21"/>
    </w:rPr>
  </w:style>
  <w:style w:type="character" w:customStyle="1" w:styleId="62">
    <w:name w:val="引用 Char"/>
    <w:basedOn w:val="26"/>
    <w:qFormat/>
    <w:uiPriority w:val="99"/>
    <w:rPr>
      <w:rFonts w:cs="Times New Roman"/>
      <w:i/>
      <w:sz w:val="24"/>
      <w:szCs w:val="24"/>
    </w:rPr>
  </w:style>
  <w:style w:type="character" w:customStyle="1" w:styleId="63">
    <w:name w:val="批注文字 Char1"/>
    <w:basedOn w:val="26"/>
    <w:qFormat/>
    <w:uiPriority w:val="99"/>
    <w:rPr>
      <w:rFonts w:ascii="仿宋_GB2312" w:eastAsia="仿宋_GB2312" w:cs="仿宋_GB2312"/>
      <w:sz w:val="24"/>
      <w:szCs w:val="24"/>
    </w:rPr>
  </w:style>
  <w:style w:type="paragraph" w:customStyle="1" w:styleId="64">
    <w:name w:val="无间隔1"/>
    <w:basedOn w:val="1"/>
    <w:link w:val="65"/>
    <w:qFormat/>
    <w:uiPriority w:val="99"/>
    <w:pPr>
      <w:widowControl/>
      <w:spacing w:line="595" w:lineRule="exact"/>
      <w:ind w:firstLine="200" w:firstLineChars="200"/>
      <w:jc w:val="left"/>
    </w:pPr>
    <w:rPr>
      <w:rFonts w:ascii="Calibri" w:hAnsi="Calibri" w:eastAsia="仿宋_GB2312"/>
      <w:kern w:val="0"/>
      <w:szCs w:val="32"/>
    </w:rPr>
  </w:style>
  <w:style w:type="character" w:customStyle="1" w:styleId="65">
    <w:name w:val="无间隔 Char"/>
    <w:basedOn w:val="26"/>
    <w:link w:val="64"/>
    <w:qFormat/>
    <w:locked/>
    <w:uiPriority w:val="99"/>
    <w:rPr>
      <w:rFonts w:ascii="Calibri" w:hAnsi="Calibri" w:eastAsia="仿宋_GB2312" w:cs="Times New Roman"/>
      <w:sz w:val="32"/>
      <w:szCs w:val="32"/>
    </w:rPr>
  </w:style>
  <w:style w:type="paragraph" w:customStyle="1" w:styleId="66">
    <w:name w:val="样式 仿宋 小四 居中"/>
    <w:basedOn w:val="1"/>
    <w:qFormat/>
    <w:uiPriority w:val="99"/>
    <w:pPr>
      <w:jc w:val="center"/>
    </w:pPr>
    <w:rPr>
      <w:rFonts w:ascii="仿宋" w:hAnsi="仿宋" w:eastAsia="仿宋"/>
      <w:sz w:val="24"/>
    </w:rPr>
  </w:style>
  <w:style w:type="character" w:customStyle="1" w:styleId="67">
    <w:name w:val="文档结构图 Char"/>
    <w:basedOn w:val="26"/>
    <w:link w:val="11"/>
    <w:semiHidden/>
    <w:qFormat/>
    <w:locked/>
    <w:uiPriority w:val="99"/>
    <w:rPr>
      <w:rFonts w:ascii="宋体" w:cs="Times New Roman"/>
      <w:kern w:val="2"/>
      <w:sz w:val="18"/>
      <w:szCs w:val="18"/>
    </w:rPr>
  </w:style>
  <w:style w:type="character" w:customStyle="1" w:styleId="68">
    <w:name w:val="日期 Char"/>
    <w:basedOn w:val="26"/>
    <w:link w:val="13"/>
    <w:semiHidden/>
    <w:qFormat/>
    <w:uiPriority w:val="99"/>
    <w:rPr>
      <w:szCs w:val="20"/>
    </w:rPr>
  </w:style>
  <w:style w:type="paragraph" w:customStyle="1" w:styleId="6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686</Words>
  <Characters>3911</Characters>
  <Lines>32</Lines>
  <Paragraphs>9</Paragraphs>
  <TotalTime>0</TotalTime>
  <ScaleCrop>false</ScaleCrop>
  <LinksUpToDate>false</LinksUpToDate>
  <CharactersWithSpaces>4588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2020-04-11T23:22:00Z</dcterms:created>
  <dc:creator>lenovo</dc:creator>
  <cp:lastModifiedBy>user</cp:lastModifiedBy>
  <cp:lastPrinted>2023-01-11T03:25:00Z</cp:lastPrinted>
  <dcterms:modified xsi:type="dcterms:W3CDTF">2023-01-12T17:13:04Z</dcterms:modified>
  <dc:title>川科计〔2018〕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