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07" w:rsidRDefault="00CA4BD1" w:rsidP="00B6445B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733"/>
        <w:gridCol w:w="327"/>
        <w:gridCol w:w="496"/>
        <w:gridCol w:w="2186"/>
        <w:gridCol w:w="2186"/>
        <w:gridCol w:w="2187"/>
      </w:tblGrid>
      <w:tr w:rsidR="00B63B0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B63B0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营山椒宝宝花椒有限责任公司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91511322MA688JA55B</w:t>
            </w:r>
          </w:p>
        </w:tc>
      </w:tr>
      <w:tr w:rsidR="00B63B0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龙上林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18882317666</w:t>
            </w:r>
          </w:p>
        </w:tc>
      </w:tr>
      <w:tr w:rsidR="00B63B0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left"/>
              <w:rPr>
                <w:rFonts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四川省南充市营山县</w:t>
            </w:r>
          </w:p>
        </w:tc>
      </w:tr>
      <w:tr w:rsidR="00B63B0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B63B07" w:rsidRDefault="00CA4BD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B63B0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B63B07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B63B0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30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B63B0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A3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A3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B63B07">
        <w:trPr>
          <w:trHeight w:val="605"/>
        </w:trPr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B15B41" w:rsidP="004949A7">
            <w:pPr>
              <w:ind w:firstLineChars="0" w:firstLine="0"/>
              <w:rPr>
                <w:rFonts w:ascii="微软雅黑" w:eastAsia="微软雅黑" w:hAnsi="微软雅黑" w:cs="微软雅黑"/>
                <w:color w:val="333333"/>
                <w:sz w:val="24"/>
              </w:rPr>
            </w:pPr>
            <w:r w:rsidRPr="00B15B41">
              <w:rPr>
                <w:rFonts w:ascii="宋体" w:eastAsia="宋体" w:hAnsi="宋体" w:cs="宋体" w:hint="eastAsia"/>
                <w:sz w:val="21"/>
                <w:szCs w:val="21"/>
              </w:rPr>
              <w:t>去除花椒油苦味的关键技术</w:t>
            </w:r>
            <w:r w:rsidR="00B6445B">
              <w:rPr>
                <w:rFonts w:ascii="宋体" w:eastAsia="宋体" w:hAnsi="宋体" w:cs="宋体" w:hint="eastAsia"/>
                <w:sz w:val="21"/>
                <w:szCs w:val="21"/>
              </w:rPr>
              <w:t>或方法</w:t>
            </w:r>
          </w:p>
        </w:tc>
      </w:tr>
      <w:tr w:rsidR="00B63B0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:rsidR="00B63B07" w:rsidRDefault="00CA4BD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A3"/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:rsidR="00B63B07" w:rsidRDefault="00CA4BD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A3"/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:rsidR="00B63B07" w:rsidRDefault="00CA4BD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B63B07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B07" w:rsidRDefault="00B63B07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Pr="00B6445B" w:rsidRDefault="00B6445B" w:rsidP="00B6445B">
            <w:pPr>
              <w:ind w:firstLineChars="100" w:firstLine="210"/>
              <w:rPr>
                <w:rFonts w:asciiTheme="minorEastAsia" w:eastAsiaTheme="minorEastAsia" w:hAnsiTheme="minorEastAsia" w:cs="微软雅黑"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 w:rsidR="00CA4BD1" w:rsidRPr="00B6445B">
              <w:rPr>
                <w:rFonts w:ascii="宋体" w:eastAsia="宋体" w:hAnsi="宋体" w:cs="宋体" w:hint="eastAsia"/>
                <w:sz w:val="21"/>
                <w:szCs w:val="21"/>
              </w:rPr>
              <w:t>如何去除花椒油中的苦味？</w:t>
            </w:r>
          </w:p>
          <w:p w:rsidR="00B63B07" w:rsidRDefault="00CA4BD1">
            <w:pPr>
              <w:ind w:firstLine="4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花椒原浆油是我司的具有核心竞争力的产品，在餐饮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>端市场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及下游调味品厂家市场上供不应求，也是江津名菜花椒鸡的专用调料，市场上目前的花椒油大多为稀释后的花椒油，几乎没有原浆油销售，原浆油的特点是原汁原味，高浓缩，“只需一滴，麻香四溢”，因此，我司正聘请西南地区最好的设计单位以“椒宝宝”品牌为载体，设计包装，准备将此产品推向家庭端市场。然而，这款产品有一个技难点，我们尚未攻破，即在冷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>榨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过程中，偶尔会出现苦味的现象，若能妥善解决这一问题，将让我司在冷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>榨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花椒油领域走在全国前列且对我司扩大此项业务有巨大的推动作用，因此，特申请解决此问题。</w:t>
            </w:r>
          </w:p>
          <w:p w:rsidR="00B63B07" w:rsidRDefault="00B63B07">
            <w:pPr>
              <w:ind w:firstLine="480"/>
              <w:rPr>
                <w:rFonts w:cs="宋体"/>
                <w:sz w:val="24"/>
              </w:rPr>
            </w:pPr>
          </w:p>
        </w:tc>
      </w:tr>
      <w:tr w:rsidR="00B63B07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B63B07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="420"/>
              <w:rPr>
                <w:rFonts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我公司拥有国内先进的花椒检测设备及全自动深加工生产线，公司位于营山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>县国际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工业港食品工业园区内，占地40亩，总投资5000万元，拥有烘干花椒、保鲜花椒、花椒油、花椒高精专精深加工产品等4个国内一流的全自动生产车间。</w:t>
            </w:r>
          </w:p>
        </w:tc>
      </w:tr>
      <w:tr w:rsidR="00B63B07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="420"/>
              <w:rPr>
                <w:rFonts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寻求能我司解决上述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21"/>
                <w:szCs w:val="21"/>
              </w:rPr>
              <w:t>问题的技术团队。</w:t>
            </w:r>
          </w:p>
          <w:p w:rsidR="00B63B07" w:rsidRDefault="00B63B07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B63B0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B63B07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B63B07" w:rsidRDefault="00CA4BD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B63B0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B63B07" w:rsidRDefault="00CA4BD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B63B07" w:rsidRDefault="00CA4BD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hint="eastAsia"/>
                <w:sz w:val="24"/>
                <w:szCs w:val="24"/>
              </w:rPr>
              <w:t>其他</w:t>
            </w:r>
          </w:p>
        </w:tc>
      </w:tr>
      <w:tr w:rsidR="00B63B0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B63B0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07" w:rsidRDefault="00CA4BD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B63B07" w:rsidRDefault="00CA4BD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B63B0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07" w:rsidRDefault="00CA4BD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B63B07" w:rsidRDefault="00CA4BD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B63B0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B63B07" w:rsidRDefault="00CA4BD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B63B0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07" w:rsidRDefault="00CA4BD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07" w:rsidRDefault="00CA4BD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B63B07" w:rsidRDefault="00CA4BD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法人代表：龙上林</w:t>
            </w:r>
            <w:r>
              <w:rPr>
                <w:rFonts w:cs="宋体" w:hint="eastAsia"/>
                <w:kern w:val="0"/>
                <w:sz w:val="24"/>
              </w:rPr>
              <w:t xml:space="preserve">2019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08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15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B63B07" w:rsidRDefault="00B63B07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B63B07" w:rsidRDefault="00B63B07" w:rsidP="00B63B07">
      <w:pPr>
        <w:ind w:firstLine="640"/>
      </w:pPr>
    </w:p>
    <w:sectPr w:rsidR="00B63B07" w:rsidSect="00B63B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F1C" w:rsidRDefault="003D4F1C" w:rsidP="00B15B41">
      <w:pPr>
        <w:ind w:firstLine="640"/>
      </w:pPr>
      <w:r>
        <w:separator/>
      </w:r>
    </w:p>
  </w:endnote>
  <w:endnote w:type="continuationSeparator" w:id="0">
    <w:p w:rsidR="003D4F1C" w:rsidRDefault="003D4F1C" w:rsidP="00B15B4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B07" w:rsidRDefault="00B63B07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B07" w:rsidRDefault="00B63B07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B07" w:rsidRDefault="00B63B07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F1C" w:rsidRDefault="003D4F1C" w:rsidP="00B15B41">
      <w:pPr>
        <w:ind w:firstLine="640"/>
      </w:pPr>
      <w:r>
        <w:separator/>
      </w:r>
    </w:p>
  </w:footnote>
  <w:footnote w:type="continuationSeparator" w:id="0">
    <w:p w:rsidR="003D4F1C" w:rsidRDefault="003D4F1C" w:rsidP="00B15B41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B07" w:rsidRDefault="00B63B07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B07" w:rsidRDefault="00B63B07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B07" w:rsidRDefault="00B63B07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D10CB1"/>
    <w:rsid w:val="002F35D4"/>
    <w:rsid w:val="003032CB"/>
    <w:rsid w:val="003D4F1C"/>
    <w:rsid w:val="004949A7"/>
    <w:rsid w:val="00497275"/>
    <w:rsid w:val="00A45C1C"/>
    <w:rsid w:val="00A6418A"/>
    <w:rsid w:val="00B15B41"/>
    <w:rsid w:val="00B63B07"/>
    <w:rsid w:val="00B6445B"/>
    <w:rsid w:val="00CA4BD1"/>
    <w:rsid w:val="00EC5B81"/>
    <w:rsid w:val="7DD10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B07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rsid w:val="00B63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semiHidden/>
    <w:unhideWhenUsed/>
    <w:qFormat/>
    <w:rsid w:val="00B63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B63B07"/>
    <w:pPr>
      <w:ind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奇点</dc:creator>
  <cp:lastModifiedBy>admin</cp:lastModifiedBy>
  <cp:revision>5</cp:revision>
  <dcterms:created xsi:type="dcterms:W3CDTF">2019-08-15T03:19:00Z</dcterms:created>
  <dcterms:modified xsi:type="dcterms:W3CDTF">2019-08-22T09:12:00Z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