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6F" w:rsidRDefault="007606D4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p w:rsidR="007B4F6F" w:rsidRDefault="007B4F6F">
      <w:pPr>
        <w:jc w:val="center"/>
        <w:rPr>
          <w:sz w:val="44"/>
          <w:szCs w:val="4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1384"/>
        <w:gridCol w:w="709"/>
        <w:gridCol w:w="36"/>
        <w:gridCol w:w="2130"/>
        <w:gridCol w:w="129"/>
        <w:gridCol w:w="2002"/>
        <w:gridCol w:w="2132"/>
      </w:tblGrid>
      <w:tr w:rsidR="007B4F6F">
        <w:trPr>
          <w:trHeight w:val="527"/>
        </w:trPr>
        <w:tc>
          <w:tcPr>
            <w:tcW w:w="8522" w:type="dxa"/>
            <w:gridSpan w:val="7"/>
          </w:tcPr>
          <w:p w:rsidR="007B4F6F" w:rsidRPr="007810BB" w:rsidRDefault="007606D4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bookmarkStart w:id="0" w:name="_GoBack"/>
            <w:r w:rsidRPr="007810BB">
              <w:rPr>
                <w:rFonts w:ascii="仿宋" w:eastAsia="仿宋" w:hAnsi="仿宋" w:cs="仿宋" w:hint="eastAsia"/>
                <w:b/>
                <w:sz w:val="24"/>
              </w:rPr>
              <w:t>单位信息</w:t>
            </w:r>
          </w:p>
        </w:tc>
      </w:tr>
      <w:tr w:rsidR="007B4F6F" w:rsidTr="007810BB">
        <w:trPr>
          <w:trHeight w:val="482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3004" w:type="dxa"/>
            <w:gridSpan w:val="4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荃智元科技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00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3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91511304MA629E832X</w:t>
            </w:r>
          </w:p>
        </w:tc>
      </w:tr>
      <w:tr w:rsidR="007B4F6F" w:rsidTr="00412B94">
        <w:trPr>
          <w:trHeight w:val="406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3004" w:type="dxa"/>
            <w:gridSpan w:val="4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李钰</w:t>
            </w:r>
          </w:p>
        </w:tc>
        <w:tc>
          <w:tcPr>
            <w:tcW w:w="200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3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18140130772</w:t>
            </w:r>
          </w:p>
        </w:tc>
      </w:tr>
      <w:tr w:rsidR="007B4F6F" w:rsidTr="00412B94">
        <w:trPr>
          <w:trHeight w:val="400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7138" w:type="dxa"/>
            <w:gridSpan w:val="6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四川省南充市嘉陵区</w:t>
            </w:r>
          </w:p>
        </w:tc>
      </w:tr>
      <w:tr w:rsidR="007B4F6F" w:rsidTr="007810BB">
        <w:trPr>
          <w:trHeight w:val="794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7138" w:type="dxa"/>
            <w:gridSpan w:val="6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是＿＿＿＿＿＿（高新区名称）</w:t>
            </w:r>
          </w:p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■否＿＿＿＿＿＿</w:t>
            </w:r>
          </w:p>
        </w:tc>
      </w:tr>
      <w:tr w:rsidR="007B4F6F" w:rsidTr="007810BB">
        <w:trPr>
          <w:trHeight w:val="527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3004" w:type="dxa"/>
            <w:gridSpan w:val="4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信息传输、计算机服务和软件业</w:t>
            </w:r>
          </w:p>
        </w:tc>
        <w:tc>
          <w:tcPr>
            <w:tcW w:w="200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3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新一代信息技术</w:t>
            </w:r>
          </w:p>
        </w:tc>
      </w:tr>
      <w:tr w:rsidR="007B4F6F" w:rsidTr="007810BB">
        <w:trPr>
          <w:trHeight w:val="497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上一年度营业总收入</w:t>
            </w:r>
          </w:p>
        </w:tc>
        <w:tc>
          <w:tcPr>
            <w:tcW w:w="3004" w:type="dxa"/>
            <w:gridSpan w:val="4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152.69（万元）</w:t>
            </w:r>
          </w:p>
        </w:tc>
        <w:tc>
          <w:tcPr>
            <w:tcW w:w="200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人员总数</w:t>
            </w:r>
          </w:p>
        </w:tc>
        <w:tc>
          <w:tcPr>
            <w:tcW w:w="213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 （人）</w:t>
            </w:r>
          </w:p>
        </w:tc>
      </w:tr>
      <w:tr w:rsidR="007B4F6F" w:rsidTr="007810BB">
        <w:trPr>
          <w:trHeight w:val="647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高新技术企业认定</w:t>
            </w:r>
          </w:p>
        </w:tc>
        <w:tc>
          <w:tcPr>
            <w:tcW w:w="2875" w:type="dxa"/>
            <w:gridSpan w:val="3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2131" w:type="dxa"/>
            <w:gridSpan w:val="2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科技型中小企业备案</w:t>
            </w:r>
          </w:p>
        </w:tc>
        <w:tc>
          <w:tcPr>
            <w:tcW w:w="2132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7B4F6F" w:rsidTr="00412B94">
        <w:trPr>
          <w:trHeight w:val="441"/>
        </w:trPr>
        <w:tc>
          <w:tcPr>
            <w:tcW w:w="1384" w:type="dxa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</w:t>
            </w:r>
          </w:p>
        </w:tc>
        <w:tc>
          <w:tcPr>
            <w:tcW w:w="7138" w:type="dxa"/>
            <w:gridSpan w:val="6"/>
          </w:tcPr>
          <w:p w:rsidR="007B4F6F" w:rsidRDefault="007606D4" w:rsidP="00463FA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氨氮在线分析仪</w:t>
            </w:r>
            <w:r w:rsidR="00412B94">
              <w:rPr>
                <w:rFonts w:ascii="仿宋" w:eastAsia="仿宋" w:hAnsi="仿宋" w:cs="仿宋" w:hint="eastAsia"/>
                <w:sz w:val="24"/>
              </w:rPr>
              <w:t>的研发制备</w:t>
            </w:r>
          </w:p>
        </w:tc>
      </w:tr>
      <w:tr w:rsidR="007B4F6F" w:rsidTr="007810BB">
        <w:trPr>
          <w:trHeight w:val="1913"/>
        </w:trPr>
        <w:tc>
          <w:tcPr>
            <w:tcW w:w="1384" w:type="dxa"/>
            <w:vMerge w:val="restart"/>
          </w:tcPr>
          <w:p w:rsidR="007810BB" w:rsidRDefault="007810BB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810BB" w:rsidRDefault="007810BB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810BB" w:rsidRDefault="007810BB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  <w:p w:rsidR="007B4F6F" w:rsidRDefault="007606D4" w:rsidP="007810BB">
            <w:pPr>
              <w:spacing w:line="276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说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明</w:t>
            </w:r>
          </w:p>
        </w:tc>
        <w:tc>
          <w:tcPr>
            <w:tcW w:w="709" w:type="dxa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需求类别</w:t>
            </w:r>
          </w:p>
        </w:tc>
        <w:tc>
          <w:tcPr>
            <w:tcW w:w="6429" w:type="dxa"/>
            <w:gridSpan w:val="5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7B4F6F" w:rsidTr="007810BB">
        <w:trPr>
          <w:trHeight w:val="2062"/>
        </w:trPr>
        <w:tc>
          <w:tcPr>
            <w:tcW w:w="1384" w:type="dxa"/>
            <w:vMerge/>
          </w:tcPr>
          <w:p w:rsidR="007B4F6F" w:rsidRDefault="007B4F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需求内容</w:t>
            </w:r>
          </w:p>
        </w:tc>
        <w:tc>
          <w:tcPr>
            <w:tcW w:w="6429" w:type="dxa"/>
            <w:gridSpan w:val="5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7B4F6F" w:rsidRDefault="007606D4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检测方法依据：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HJ535-2009 《水质 氨氮的测定 纳氏试剂分光光度法》</w:t>
            </w:r>
          </w:p>
          <w:p w:rsidR="007B4F6F" w:rsidRDefault="007606D4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检测方法原理：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以游离态的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氨或铵离子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等形式存在的氨氮与纳氏试剂反应生成淡红棕色络合物，该络合物的吸光度与氨氮含量成正比，于波长420nm处测量吸光度，根据朗伯比尔定律，吸光度与吸光物质浓度呈线性关系，从而准确的检测水质氨氮浓度。 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仪器标准依据：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HJC-ZY33-2013《氨氮水质自动在线检测仪技术要求和检测方法作业指导书》</w:t>
            </w:r>
          </w:p>
          <w:p w:rsidR="007B4F6F" w:rsidRDefault="007606D4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主要技术参数：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（1）方法依据：HJC-ZY33-2013《氨氮水质自动在线检测仪技术要求和检测方法作业指导书》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（2）测量范围：0.05-10.0 mg/L ,10.0-100 mg/L（自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动分档量程，量程全自动切换）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（3）准确度：≤5%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（4）重复性：±10%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（5）零点漂移：±0.02mg/L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（6）量程漂移：±1% FS 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（7）检出限：≤0.05mg/L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（8）测量周期：最小测量周期为25min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（9）采样周期：时间间隔（10-999min任意可调）和整点测量模式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（10）校准周期：可手动即刻标定或者设定周期进行自动校准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（11）维护周期：一般每月一次，每次约30min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（12）输出：RS-232，RS484可选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（13）环境要求：温度5-40℃；湿度≤90%（不结露）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（14）电源：AC220±10%V，50±10%Hz，5A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（15）尺寸：长3680×宽735×高1750 （mm）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（16） 其它：异常报警和断电不会丢失数据；触摸屏显示及指令输入；异常复位和断电后来电，仪器自动排出仪器内残留反应物，自动恢复工作状态。</w:t>
            </w:r>
            <w:bookmarkStart w:id="1" w:name="_Toc507676978"/>
          </w:p>
          <w:p w:rsidR="007B4F6F" w:rsidRDefault="007606D4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主要技术特点</w:t>
            </w:r>
            <w:bookmarkEnd w:id="1"/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（1）采用大屏幕液晶显示器、中文菜单操作；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（2）采用了单色冷光源组成的光度检测性能稳定可靠。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（3）反应器，比色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一体化设计，结构简单可靠；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（4）独特的装置配合特殊的试剂配制将其他离子的干扰影响完全消除；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（5）仪器自带清洗系统，每次测量完毕都对测量管理进行冲洗大大减轻维护工作量；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（6）仪器采用多点标定，最小二乘法处理，在大的测量范围里更容易保证精度；</w:t>
            </w:r>
          </w:p>
          <w:p w:rsidR="007B4F6F" w:rsidRDefault="007606D4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（7）仪器可输出隔离4-20mA信号供上位计算机采集，或直接通过485通信端口通信。</w:t>
            </w:r>
          </w:p>
          <w:p w:rsidR="007B4F6F" w:rsidRDefault="007B4F6F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</w:tc>
      </w:tr>
      <w:tr w:rsidR="007B4F6F" w:rsidTr="007810BB">
        <w:trPr>
          <w:trHeight w:val="2007"/>
        </w:trPr>
        <w:tc>
          <w:tcPr>
            <w:tcW w:w="1384" w:type="dxa"/>
            <w:vMerge/>
          </w:tcPr>
          <w:p w:rsidR="007B4F6F" w:rsidRDefault="007B4F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现有基础</w:t>
            </w:r>
          </w:p>
        </w:tc>
        <w:tc>
          <w:tcPr>
            <w:tcW w:w="6429" w:type="dxa"/>
            <w:gridSpan w:val="5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开展的工作：已经研发并生产了常规五参数的分析仪，根据客户的需求，现需要开发电化学法的氨氮分析仪。</w:t>
            </w:r>
          </w:p>
        </w:tc>
      </w:tr>
      <w:tr w:rsidR="007B4F6F" w:rsidTr="007810BB">
        <w:trPr>
          <w:trHeight w:val="2372"/>
        </w:trPr>
        <w:tc>
          <w:tcPr>
            <w:tcW w:w="1384" w:type="dxa"/>
            <w:vMerge w:val="restart"/>
          </w:tcPr>
          <w:p w:rsidR="007B4F6F" w:rsidRDefault="007B4F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7B4F6F" w:rsidRDefault="007606D4" w:rsidP="007810B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</w:tc>
        <w:tc>
          <w:tcPr>
            <w:tcW w:w="709" w:type="dxa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简要描述</w:t>
            </w:r>
          </w:p>
        </w:tc>
        <w:tc>
          <w:tcPr>
            <w:tcW w:w="6429" w:type="dxa"/>
            <w:gridSpan w:val="5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B4F6F" w:rsidRDefault="007B4F6F">
            <w:pPr>
              <w:rPr>
                <w:rFonts w:ascii="仿宋" w:eastAsia="仿宋" w:hAnsi="仿宋" w:cs="仿宋"/>
                <w:sz w:val="24"/>
              </w:rPr>
            </w:pP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希望与南充高校化工院系的相关教授合作开发新产品</w:t>
            </w:r>
          </w:p>
        </w:tc>
      </w:tr>
      <w:tr w:rsidR="007B4F6F" w:rsidTr="007810BB">
        <w:trPr>
          <w:trHeight w:val="1292"/>
        </w:trPr>
        <w:tc>
          <w:tcPr>
            <w:tcW w:w="1384" w:type="dxa"/>
            <w:vMerge/>
          </w:tcPr>
          <w:p w:rsidR="007B4F6F" w:rsidRDefault="007B4F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合作方式</w:t>
            </w:r>
          </w:p>
        </w:tc>
        <w:tc>
          <w:tcPr>
            <w:tcW w:w="6429" w:type="dxa"/>
            <w:gridSpan w:val="5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技术入股■联合开发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7B4F6F" w:rsidTr="007810BB">
        <w:trPr>
          <w:trHeight w:val="657"/>
        </w:trPr>
        <w:tc>
          <w:tcPr>
            <w:tcW w:w="1384" w:type="dxa"/>
          </w:tcPr>
          <w:p w:rsidR="007B4F6F" w:rsidRDefault="007606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其他需求</w:t>
            </w:r>
          </w:p>
        </w:tc>
        <w:tc>
          <w:tcPr>
            <w:tcW w:w="7138" w:type="dxa"/>
            <w:gridSpan w:val="6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研发费用加计扣除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检验检测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科技政策■招标采购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产品/服务市场占有率分析■市场前景分析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企业发展战略咨询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B4F6F">
        <w:trPr>
          <w:trHeight w:val="402"/>
        </w:trPr>
        <w:tc>
          <w:tcPr>
            <w:tcW w:w="8522" w:type="dxa"/>
            <w:gridSpan w:val="7"/>
          </w:tcPr>
          <w:p w:rsidR="007B4F6F" w:rsidRPr="00944D53" w:rsidRDefault="007606D4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944D53">
              <w:rPr>
                <w:rFonts w:ascii="仿宋" w:eastAsia="仿宋" w:hAnsi="仿宋" w:cs="仿宋" w:hint="eastAsia"/>
                <w:b/>
                <w:sz w:val="24"/>
              </w:rPr>
              <w:t>管理信息</w:t>
            </w:r>
          </w:p>
        </w:tc>
      </w:tr>
      <w:tr w:rsidR="007B4F6F">
        <w:tc>
          <w:tcPr>
            <w:tcW w:w="2129" w:type="dxa"/>
            <w:gridSpan w:val="3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同意公开需求信息</w:t>
            </w:r>
          </w:p>
        </w:tc>
        <w:tc>
          <w:tcPr>
            <w:tcW w:w="6393" w:type="dxa"/>
            <w:gridSpan w:val="4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否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部分公开（说明）</w:t>
            </w:r>
          </w:p>
        </w:tc>
      </w:tr>
      <w:tr w:rsidR="007B4F6F">
        <w:tc>
          <w:tcPr>
            <w:tcW w:w="2129" w:type="dxa"/>
            <w:gridSpan w:val="3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同意接受专家服务</w:t>
            </w:r>
          </w:p>
        </w:tc>
        <w:tc>
          <w:tcPr>
            <w:tcW w:w="6393" w:type="dxa"/>
            <w:gridSpan w:val="4"/>
          </w:tcPr>
          <w:p w:rsidR="007B4F6F" w:rsidRDefault="00412B94" w:rsidP="00412B9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 w:rsidR="007606D4">
              <w:rPr>
                <w:rFonts w:ascii="仿宋" w:eastAsia="仿宋" w:hAnsi="仿宋" w:cs="仿宋" w:hint="eastAsia"/>
                <w:sz w:val="24"/>
              </w:rPr>
              <w:t xml:space="preserve">是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7606D4"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7B4F6F">
        <w:tc>
          <w:tcPr>
            <w:tcW w:w="2129" w:type="dxa"/>
            <w:gridSpan w:val="3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同意参与解决方案筛选评价</w:t>
            </w:r>
          </w:p>
        </w:tc>
        <w:tc>
          <w:tcPr>
            <w:tcW w:w="6393" w:type="dxa"/>
            <w:gridSpan w:val="4"/>
          </w:tcPr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7B4F6F">
        <w:tc>
          <w:tcPr>
            <w:tcW w:w="2129" w:type="dxa"/>
            <w:gridSpan w:val="3"/>
          </w:tcPr>
          <w:p w:rsidR="007B4F6F" w:rsidRDefault="007606D4" w:rsidP="007810BB">
            <w:pPr>
              <w:ind w:left="480" w:hangingChars="200" w:hanging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同意出资奖励优秀解决方案</w:t>
            </w:r>
          </w:p>
        </w:tc>
        <w:tc>
          <w:tcPr>
            <w:tcW w:w="6393" w:type="dxa"/>
            <w:gridSpan w:val="4"/>
          </w:tcPr>
          <w:p w:rsidR="007810BB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是，金额万元。（奖金仅用作鼓励挑战者，不作为技术转让、技术许可或其他独占性合作的前提条件）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</w:t>
            </w:r>
          </w:p>
          <w:p w:rsidR="007B4F6F" w:rsidRDefault="007606D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法人代表：           年  月   日</w:t>
            </w:r>
          </w:p>
        </w:tc>
      </w:tr>
      <w:bookmarkEnd w:id="0"/>
    </w:tbl>
    <w:p w:rsidR="007B4F6F" w:rsidRDefault="007B4F6F"/>
    <w:sectPr w:rsidR="007B4F6F" w:rsidSect="007B4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F3A" w:rsidRDefault="00691F3A" w:rsidP="007810BB">
      <w:r>
        <w:separator/>
      </w:r>
    </w:p>
  </w:endnote>
  <w:endnote w:type="continuationSeparator" w:id="0">
    <w:p w:rsidR="00691F3A" w:rsidRDefault="00691F3A" w:rsidP="00781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F3A" w:rsidRDefault="00691F3A" w:rsidP="007810BB">
      <w:r>
        <w:separator/>
      </w:r>
    </w:p>
  </w:footnote>
  <w:footnote w:type="continuationSeparator" w:id="0">
    <w:p w:rsidR="00691F3A" w:rsidRDefault="00691F3A" w:rsidP="007810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E722AC"/>
    <w:rsid w:val="000129AC"/>
    <w:rsid w:val="0018358D"/>
    <w:rsid w:val="001C3191"/>
    <w:rsid w:val="002156AB"/>
    <w:rsid w:val="002D23C9"/>
    <w:rsid w:val="003A267B"/>
    <w:rsid w:val="00412B94"/>
    <w:rsid w:val="00463FA5"/>
    <w:rsid w:val="004959AC"/>
    <w:rsid w:val="004B5B92"/>
    <w:rsid w:val="004C6FC8"/>
    <w:rsid w:val="005C3254"/>
    <w:rsid w:val="00691F3A"/>
    <w:rsid w:val="007606D4"/>
    <w:rsid w:val="007810BB"/>
    <w:rsid w:val="007A0DC4"/>
    <w:rsid w:val="007B4F6F"/>
    <w:rsid w:val="007D1F0D"/>
    <w:rsid w:val="00815756"/>
    <w:rsid w:val="00944D53"/>
    <w:rsid w:val="00982457"/>
    <w:rsid w:val="00A67623"/>
    <w:rsid w:val="00B009CE"/>
    <w:rsid w:val="00B64E58"/>
    <w:rsid w:val="00C943AA"/>
    <w:rsid w:val="00CA189F"/>
    <w:rsid w:val="00FF0EFA"/>
    <w:rsid w:val="00FF105B"/>
    <w:rsid w:val="079062F0"/>
    <w:rsid w:val="5EE722AC"/>
    <w:rsid w:val="72B6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F6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Char"/>
    <w:qFormat/>
    <w:rsid w:val="007B4F6F"/>
    <w:pPr>
      <w:keepNext/>
      <w:keepLines/>
      <w:adjustRightInd w:val="0"/>
      <w:snapToGrid w:val="0"/>
      <w:spacing w:before="400" w:after="400" w:line="240" w:lineRule="atLeast"/>
      <w:outlineLvl w:val="1"/>
    </w:pPr>
    <w:rPr>
      <w:rFonts w:ascii="Book Antiqua" w:eastAsia="黑体" w:hAnsi="Book Antiqua" w:cs="Times New Roman"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4F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qFormat/>
    <w:rsid w:val="007B4F6F"/>
    <w:rPr>
      <w:color w:val="0000FF"/>
      <w:u w:val="single"/>
    </w:rPr>
  </w:style>
  <w:style w:type="character" w:customStyle="1" w:styleId="2Char">
    <w:name w:val="标题 2 Char"/>
    <w:basedOn w:val="a0"/>
    <w:link w:val="2"/>
    <w:rsid w:val="007B4F6F"/>
    <w:rPr>
      <w:rFonts w:ascii="Book Antiqua" w:eastAsia="黑体" w:hAnsi="Book Antiqua" w:cs="Times New Roman"/>
      <w:bCs/>
      <w:kern w:val="2"/>
      <w:sz w:val="44"/>
      <w:szCs w:val="44"/>
    </w:rPr>
  </w:style>
  <w:style w:type="paragraph" w:styleId="a5">
    <w:name w:val="header"/>
    <w:basedOn w:val="a"/>
    <w:link w:val="Char"/>
    <w:rsid w:val="00781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810BB"/>
    <w:rPr>
      <w:kern w:val="2"/>
      <w:sz w:val="18"/>
      <w:szCs w:val="18"/>
    </w:rPr>
  </w:style>
  <w:style w:type="paragraph" w:styleId="a6">
    <w:name w:val="footer"/>
    <w:basedOn w:val="a"/>
    <w:link w:val="Char0"/>
    <w:rsid w:val="00781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810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</dc:creator>
  <cp:lastModifiedBy>admin</cp:lastModifiedBy>
  <cp:revision>7</cp:revision>
  <dcterms:created xsi:type="dcterms:W3CDTF">2019-08-19T03:41:00Z</dcterms:created>
  <dcterms:modified xsi:type="dcterms:W3CDTF">2019-08-22T08:29:00Z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