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jc w:val="center"/>
        <w:textAlignment w:val="auto"/>
        <w:rPr>
          <w:rFonts w:ascii="方正小标宋简体" w:cs="方正小标宋简体" w:eastAsia="方正小标宋简体" w:hAnsi="方正小标宋简体" w:hint="eastAsia"/>
          <w:sz w:val="44"/>
          <w:szCs w:val="44"/>
          <w:lang w:val="en-US" w:eastAsia="zh-CN"/>
        </w:rPr>
      </w:pPr>
      <w:r>
        <w:rPr>
          <w:rFonts w:ascii="方正小标宋简体" w:cs="方正小标宋简体" w:eastAsia="方正小标宋简体" w:hAnsi="方正小标宋简体" w:hint="eastAsia"/>
          <w:sz w:val="44"/>
          <w:szCs w:val="44"/>
          <w:lang w:eastAsia="zh-CN"/>
        </w:rPr>
        <w:t>《四川省科技赋能防灾减灾救灾“揭榜挂帅”项目整体工作指引》</w:t>
      </w:r>
      <w:r>
        <w:rPr>
          <w:rFonts w:ascii="方正小标宋简体" w:cs="方正小标宋简体" w:eastAsia="方正小标宋简体" w:hAnsi="方正小标宋简体" w:hint="eastAsia"/>
          <w:sz w:val="44"/>
          <w:szCs w:val="44"/>
          <w:lang w:val="en-US" w:eastAsia="zh-CN"/>
        </w:rPr>
        <w:t>等文件政策解读</w:t>
      </w:r>
    </w:p>
    <w:p>
      <w:pPr>
        <w:pStyle w:val="style0"/>
        <w:jc w:val="both"/>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jc w:val="both"/>
        <w:textAlignment w:val="auto"/>
        <w:rPr>
          <w:rFonts w:hint="eastAsia"/>
          <w:lang w:val="en-US" w:eastAsia="zh-CN"/>
        </w:rPr>
      </w:pPr>
      <w:r>
        <w:rPr>
          <w:rFonts w:ascii="黑体" w:cs="黑体" w:eastAsia="黑体" w:hAnsi="黑体" w:hint="eastAsia"/>
          <w:lang w:val="en-US" w:eastAsia="zh-CN"/>
        </w:rPr>
        <w:t>一、起草背景</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jc w:val="both"/>
        <w:textAlignment w:val="auto"/>
        <w:rPr>
          <w:rFonts w:hint="default"/>
          <w:lang w:val="en-US" w:eastAsia="zh-CN"/>
        </w:rPr>
      </w:pPr>
      <w:r>
        <w:rPr>
          <w:rFonts w:hint="eastAsia"/>
          <w:lang w:val="en-US" w:eastAsia="zh-CN"/>
        </w:rPr>
        <w:t>为深入贯彻党的二十届三中全会精神，认真落实省委十二届六次全会部署，进一步推动科技赋能防灾减灾救灾，有序推进“揭榜挂帅”项目高质量实施，切实提升防范化解重大安全风险和应对处置各类灾害事件能力，应急管理厅会同省发展改革委、科技厅、财政厅、自然资源厅、住房城乡建设厅、交通运输厅、水利厅、审计厅、省林草局、省广电局、四川气象局等11个部门联合印发了《四川省科技赋能防灾减灾救灾“揭榜挂帅”项目整体工作指引》《四川省科技赋能防灾减灾救灾“揭榜挂帅”项目（首批）指南》《四川省科技赋能防灾减灾救灾“揭榜挂帅”项目发榜揭榜评榜办法（试行）》《四川省科技赋能防灾减灾救灾“揭榜挂帅”项目资金管理细则（试行）》</w:t>
      </w:r>
      <w:r>
        <w:rPr>
          <w:rFonts w:hint="default"/>
          <w:lang w:val="en-US" w:eastAsia="zh-CN"/>
        </w:rPr>
        <w:t>〔以下分别简称《项目整体工作指引》《项目（首批）指南》《项目发榜揭榜评榜办法（试行）》《项目资金管理细则（试行）》〕</w:t>
      </w:r>
      <w:r>
        <w:rPr>
          <w:rFonts w:hint="eastAsia"/>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jc w:val="both"/>
        <w:textAlignment w:val="auto"/>
        <w:rPr>
          <w:rFonts w:hint="eastAsia"/>
          <w:lang w:val="en-US" w:eastAsia="zh-CN"/>
        </w:rPr>
      </w:pPr>
      <w:r>
        <w:rPr>
          <w:rFonts w:ascii="黑体" w:cs="黑体" w:eastAsia="黑体" w:hAnsi="黑体" w:hint="eastAsia"/>
          <w:lang w:val="en-US" w:eastAsia="zh-CN"/>
        </w:rPr>
        <w:t>二、主要内容</w:t>
      </w:r>
    </w:p>
    <w:p>
      <w:pPr>
        <w:pStyle w:val="style0"/>
        <w:keepNext w:val="false"/>
        <w:keepLines w:val="false"/>
        <w:pageBreakBefore w:val="false"/>
        <w:widowControl w:val="false"/>
        <w:kinsoku/>
        <w:wordWrap/>
        <w:overflowPunct/>
        <w:topLinePunct w:val="false"/>
        <w:autoSpaceDE/>
        <w:autoSpaceDN/>
        <w:bidi w:val="false"/>
        <w:adjustRightInd/>
        <w:snapToGrid/>
        <w:ind w:firstLine="643" w:firstLineChars="200"/>
        <w:jc w:val="both"/>
        <w:textAlignment w:val="auto"/>
        <w:rPr>
          <w:rFonts w:hint="default"/>
          <w:lang w:val="en-US" w:eastAsia="zh-CN"/>
        </w:rPr>
      </w:pPr>
      <w:r>
        <w:rPr>
          <w:rFonts w:hint="eastAsia"/>
          <w:b/>
          <w:bCs/>
          <w:lang w:val="en-US" w:eastAsia="zh-CN"/>
        </w:rPr>
        <w:t>（</w:t>
      </w:r>
      <w:r>
        <w:rPr>
          <w:rFonts w:hint="default"/>
          <w:b/>
          <w:bCs/>
          <w:lang w:val="en-US" w:eastAsia="zh-CN"/>
        </w:rPr>
        <w:t>一</w:t>
      </w:r>
      <w:r>
        <w:rPr>
          <w:rFonts w:hint="eastAsia"/>
          <w:b/>
          <w:bCs/>
          <w:lang w:val="en-US" w:eastAsia="zh-CN"/>
        </w:rPr>
        <w:t>）</w:t>
      </w:r>
      <w:r>
        <w:rPr>
          <w:rFonts w:hint="default"/>
          <w:b/>
          <w:bCs/>
          <w:lang w:val="en-US" w:eastAsia="zh-CN"/>
        </w:rPr>
        <w:t>关于《项目整体工作指引》。</w:t>
      </w:r>
      <w:r>
        <w:rPr>
          <w:rFonts w:hint="default"/>
          <w:b w:val="false"/>
          <w:bCs w:val="false"/>
          <w:lang w:val="en-US" w:eastAsia="zh-CN"/>
        </w:rPr>
        <w:t>《项目整体工作指引》对推进</w:t>
      </w:r>
      <w:r>
        <w:rPr>
          <w:rFonts w:hint="eastAsia"/>
          <w:b w:val="false"/>
          <w:bCs w:val="false"/>
          <w:lang w:val="en-US" w:eastAsia="zh-CN"/>
        </w:rPr>
        <w:t>“</w:t>
      </w:r>
      <w:r>
        <w:rPr>
          <w:rFonts w:hint="default"/>
          <w:b w:val="false"/>
          <w:bCs w:val="false"/>
          <w:lang w:val="en-US" w:eastAsia="zh-CN"/>
        </w:rPr>
        <w:t>揭榜挂帅</w:t>
      </w:r>
      <w:r>
        <w:rPr>
          <w:rFonts w:hint="eastAsia"/>
          <w:b w:val="false"/>
          <w:bCs w:val="false"/>
          <w:lang w:val="en-US" w:eastAsia="zh-CN"/>
        </w:rPr>
        <w:t>”</w:t>
      </w:r>
      <w:r>
        <w:rPr>
          <w:rFonts w:hint="default"/>
          <w:b w:val="false"/>
          <w:bCs w:val="false"/>
          <w:lang w:val="en-US" w:eastAsia="zh-CN"/>
        </w:rPr>
        <w:t>作了总体安排，分为总体要求、工作流程、组织保障三个方面。其中，总体要求方面，提出全面贯彻习近平总书记</w:t>
      </w:r>
      <w:r>
        <w:rPr>
          <w:rFonts w:hint="eastAsia"/>
          <w:b w:val="false"/>
          <w:bCs w:val="false"/>
          <w:lang w:val="en-US" w:eastAsia="zh-CN"/>
        </w:rPr>
        <w:t>“</w:t>
      </w:r>
      <w:r>
        <w:rPr>
          <w:rFonts w:hint="default"/>
          <w:b w:val="false"/>
          <w:bCs w:val="false"/>
          <w:lang w:val="en-US" w:eastAsia="zh-CN"/>
        </w:rPr>
        <w:t>两个坚持、三个转变</w:t>
      </w:r>
      <w:r>
        <w:rPr>
          <w:rFonts w:hint="eastAsia"/>
          <w:b w:val="false"/>
          <w:bCs w:val="false"/>
          <w:lang w:val="en-US" w:eastAsia="zh-CN"/>
        </w:rPr>
        <w:t>”</w:t>
      </w:r>
      <w:r>
        <w:rPr>
          <w:rFonts w:hint="default"/>
          <w:b w:val="false"/>
          <w:bCs w:val="false"/>
          <w:lang w:val="en-US" w:eastAsia="zh-CN"/>
        </w:rPr>
        <w:t>防灾减灾救灾理念，突出问题导向，整合科研力量，运用科技手段，推动</w:t>
      </w:r>
      <w:r>
        <w:rPr>
          <w:rFonts w:hint="eastAsia"/>
          <w:b w:val="false"/>
          <w:bCs w:val="false"/>
          <w:lang w:val="en-US" w:eastAsia="zh-CN"/>
        </w:rPr>
        <w:t>“</w:t>
      </w:r>
      <w:r>
        <w:rPr>
          <w:rFonts w:hint="default"/>
          <w:b w:val="false"/>
          <w:bCs w:val="false"/>
          <w:lang w:val="en-US" w:eastAsia="zh-CN"/>
        </w:rPr>
        <w:t>揭榜挂帅</w:t>
      </w:r>
      <w:r>
        <w:rPr>
          <w:rFonts w:hint="eastAsia"/>
          <w:b w:val="false"/>
          <w:bCs w:val="false"/>
          <w:lang w:val="en-US" w:eastAsia="zh-CN"/>
        </w:rPr>
        <w:t>”</w:t>
      </w:r>
      <w:r>
        <w:rPr>
          <w:rFonts w:hint="default"/>
          <w:b w:val="false"/>
          <w:bCs w:val="false"/>
          <w:lang w:val="en-US" w:eastAsia="zh-CN"/>
        </w:rPr>
        <w:t>集智攻关。工作流程方面，明确了问题调研与凝练、一次榜单发布及评审、二次榜单发布及遴选、项目实施及过程监管、推广应用等五个具体流程步骤。组织保障方面，确定由应急管理厅牵头，省发展改革委、科技厅、财政厅、审计厅、自然资源厅、住房城乡建设厅、交通运输厅、水利厅、省林草局、省广电局、四川气象局等11个部门（单位）共同参与，其中行业部门作为责任主体、工作主体、实施主体，负责组织项目实施。该指引为推动</w:t>
      </w:r>
      <w:r>
        <w:rPr>
          <w:rFonts w:hint="eastAsia"/>
          <w:b w:val="false"/>
          <w:bCs w:val="false"/>
          <w:lang w:val="en-US" w:eastAsia="zh-CN"/>
        </w:rPr>
        <w:t>“</w:t>
      </w:r>
      <w:r>
        <w:rPr>
          <w:rFonts w:hint="default"/>
          <w:b w:val="false"/>
          <w:bCs w:val="false"/>
          <w:lang w:val="en-US" w:eastAsia="zh-CN"/>
        </w:rPr>
        <w:t>揭榜挂帅</w:t>
      </w:r>
      <w:r>
        <w:rPr>
          <w:rFonts w:hint="eastAsia"/>
          <w:b w:val="false"/>
          <w:bCs w:val="false"/>
          <w:lang w:val="en-US" w:eastAsia="zh-CN"/>
        </w:rPr>
        <w:t>”</w:t>
      </w:r>
      <w:r>
        <w:rPr>
          <w:rFonts w:hint="default"/>
          <w:b w:val="false"/>
          <w:bCs w:val="false"/>
          <w:lang w:val="en-US" w:eastAsia="zh-CN"/>
        </w:rPr>
        <w:t>工作提供了具体操作依据。</w:t>
      </w:r>
    </w:p>
    <w:p>
      <w:pPr>
        <w:pStyle w:val="style0"/>
        <w:keepNext w:val="false"/>
        <w:keepLines w:val="false"/>
        <w:pageBreakBefore w:val="false"/>
        <w:widowControl w:val="false"/>
        <w:kinsoku/>
        <w:wordWrap/>
        <w:overflowPunct/>
        <w:topLinePunct w:val="false"/>
        <w:autoSpaceDE/>
        <w:autoSpaceDN/>
        <w:bidi w:val="false"/>
        <w:adjustRightInd/>
        <w:snapToGrid/>
        <w:ind w:firstLine="643" w:firstLineChars="200"/>
        <w:jc w:val="both"/>
        <w:textAlignment w:val="auto"/>
        <w:rPr>
          <w:rFonts w:hint="default"/>
          <w:lang w:val="en-US" w:eastAsia="zh-CN"/>
        </w:rPr>
      </w:pPr>
      <w:r>
        <w:rPr>
          <w:rFonts w:hint="eastAsia"/>
          <w:b/>
          <w:bCs/>
          <w:lang w:val="en-US" w:eastAsia="zh-CN"/>
        </w:rPr>
        <w:t>（</w:t>
      </w:r>
      <w:r>
        <w:rPr>
          <w:rFonts w:hint="default"/>
          <w:b/>
          <w:bCs/>
          <w:lang w:val="en-US" w:eastAsia="zh-CN"/>
        </w:rPr>
        <w:t>二</w:t>
      </w:r>
      <w:r>
        <w:rPr>
          <w:rFonts w:hint="eastAsia"/>
          <w:b/>
          <w:bCs/>
          <w:lang w:val="en-US" w:eastAsia="zh-CN"/>
        </w:rPr>
        <w:t>）</w:t>
      </w:r>
      <w:r>
        <w:rPr>
          <w:rFonts w:hint="default"/>
          <w:b/>
          <w:bCs/>
          <w:lang w:val="en-US" w:eastAsia="zh-CN"/>
        </w:rPr>
        <w:t>关于《项目（首批）指南》。</w:t>
      </w:r>
      <w:r>
        <w:rPr>
          <w:rFonts w:hint="default"/>
          <w:lang w:val="en-US" w:eastAsia="zh-CN"/>
        </w:rPr>
        <w:t>针对灾害防范应对中监测预警</w:t>
      </w:r>
      <w:r>
        <w:rPr>
          <w:rFonts w:hint="eastAsia"/>
          <w:lang w:val="en-US" w:eastAsia="zh-CN"/>
        </w:rPr>
        <w:t>、</w:t>
      </w:r>
      <w:r>
        <w:rPr>
          <w:rFonts w:hint="default"/>
          <w:lang w:val="en-US" w:eastAsia="zh-CN"/>
        </w:rPr>
        <w:t>风险防控、指挥决策等方面问题短板</w:t>
      </w:r>
      <w:r>
        <w:rPr>
          <w:rFonts w:hint="eastAsia"/>
          <w:lang w:val="en-US" w:eastAsia="zh-CN"/>
        </w:rPr>
        <w:t>，</w:t>
      </w:r>
      <w:r>
        <w:rPr>
          <w:rFonts w:hint="default"/>
          <w:lang w:val="en-US" w:eastAsia="zh-CN"/>
        </w:rPr>
        <w:t>形成12项拟首批发布的一次榜单</w:t>
      </w:r>
      <w:r>
        <w:rPr>
          <w:rFonts w:hint="eastAsia"/>
          <w:lang w:val="en-US" w:eastAsia="zh-CN"/>
        </w:rPr>
        <w:t>，</w:t>
      </w:r>
      <w:r>
        <w:rPr>
          <w:rFonts w:hint="default"/>
          <w:lang w:val="en-US" w:eastAsia="zh-CN"/>
        </w:rPr>
        <w:t>包括山洪泥石流榜单7项、森林草原火灾榜单3项、道路桥梁汛期安全榜单2项</w:t>
      </w:r>
      <w:r>
        <w:rPr>
          <w:rFonts w:hint="eastAsia"/>
          <w:lang w:val="en-US" w:eastAsia="zh-CN"/>
        </w:rPr>
        <w:t>，其中，四川气象局牵头实施2项、自然资源厅牵头实施2项、水利厅和应急管理厅共同牵头实施2项、应急管理厅牵头实施1项、省林草局牵头实施2项、住房城乡建设厅牵头实施1项，交通运输厅牵头实施2项。该指南确定了当前“揭榜挂帅”工作重点攻坚方向。</w:t>
      </w:r>
    </w:p>
    <w:p>
      <w:pPr>
        <w:pStyle w:val="style0"/>
        <w:keepNext w:val="false"/>
        <w:keepLines w:val="false"/>
        <w:pageBreakBefore w:val="false"/>
        <w:widowControl w:val="false"/>
        <w:kinsoku/>
        <w:wordWrap/>
        <w:overflowPunct/>
        <w:topLinePunct w:val="false"/>
        <w:autoSpaceDE/>
        <w:autoSpaceDN/>
        <w:bidi w:val="false"/>
        <w:adjustRightInd/>
        <w:snapToGrid/>
        <w:ind w:firstLine="643" w:firstLineChars="200"/>
        <w:jc w:val="both"/>
        <w:textAlignment w:val="auto"/>
        <w:rPr>
          <w:rFonts w:hint="default"/>
          <w:lang w:val="en-US" w:eastAsia="zh-CN"/>
        </w:rPr>
      </w:pPr>
      <w:r>
        <w:rPr>
          <w:rFonts w:hint="eastAsia"/>
          <w:b/>
          <w:bCs/>
          <w:lang w:val="en-US" w:eastAsia="zh-CN"/>
        </w:rPr>
        <w:t>（</w:t>
      </w:r>
      <w:r>
        <w:rPr>
          <w:rFonts w:hint="default"/>
          <w:b/>
          <w:bCs/>
          <w:lang w:val="en-US" w:eastAsia="zh-CN"/>
        </w:rPr>
        <w:t>三</w:t>
      </w:r>
      <w:r>
        <w:rPr>
          <w:rFonts w:hint="eastAsia"/>
          <w:b/>
          <w:bCs/>
          <w:lang w:val="en-US" w:eastAsia="zh-CN"/>
        </w:rPr>
        <w:t>）</w:t>
      </w:r>
      <w:r>
        <w:rPr>
          <w:rFonts w:hint="default"/>
          <w:b/>
          <w:bCs/>
          <w:lang w:val="en-US" w:eastAsia="zh-CN"/>
        </w:rPr>
        <w:t>关于《项目发榜揭榜评榜办法（试行）》。</w:t>
      </w:r>
      <w:r>
        <w:rPr>
          <w:rFonts w:hint="default"/>
          <w:b w:val="false"/>
          <w:bCs w:val="false"/>
          <w:lang w:val="en-US" w:eastAsia="zh-CN"/>
        </w:rPr>
        <w:t>该办法共分为五章二十</w:t>
      </w:r>
      <w:r>
        <w:rPr>
          <w:rFonts w:hint="eastAsia"/>
          <w:b w:val="false"/>
          <w:bCs w:val="false"/>
          <w:lang w:val="en-US" w:eastAsia="zh-CN"/>
        </w:rPr>
        <w:t>六</w:t>
      </w:r>
      <w:r>
        <w:rPr>
          <w:rFonts w:hint="default"/>
          <w:b w:val="false"/>
          <w:bCs w:val="false"/>
          <w:lang w:val="en-US" w:eastAsia="zh-CN"/>
        </w:rPr>
        <w:t>条，包括总则、条件要求、一次榜单发布及评审、二次榜单发布及遴选、组织保障和监督管理等方面。其中，总则方面，明确应急管理厅牵头组织榜单编制，科技厅组织榜单发布及评审遴选，行业部门负责本行业项目具体推进。条件要求方面，明确了揭榜方、项目负责人、专家遴选等具体要求，其中二次榜单的独立揭榜方或联合揭榜的牵头单位应为注册地在四川省内的法人组织。一次榜单发布及评审方面，明确了榜单发布、单位揭榜、形式审查、初评、终评等具体流程，一次发榜的每个榜单任务评审出不超过4个揭榜方案。二次榜单发布及遴选方面，明确了项目榜单编制、揭榜材料形式审查、评审等内容，二次发榜的每个榜单任务遴选1个最优揭榜团队。组织保障和监督管理方面，提出了知识产权归属和利益分配、榜单发布及评审遴选过程监督管理等要求。该办法为有序组织实施</w:t>
      </w:r>
      <w:r>
        <w:rPr>
          <w:rFonts w:hint="eastAsia"/>
          <w:b w:val="false"/>
          <w:bCs w:val="false"/>
          <w:lang w:val="en-US" w:eastAsia="zh-CN"/>
        </w:rPr>
        <w:t>“</w:t>
      </w:r>
      <w:r>
        <w:rPr>
          <w:rFonts w:hint="default"/>
          <w:b w:val="false"/>
          <w:bCs w:val="false"/>
          <w:lang w:val="en-US" w:eastAsia="zh-CN"/>
        </w:rPr>
        <w:t>揭榜挂帅</w:t>
      </w:r>
      <w:r>
        <w:rPr>
          <w:rFonts w:hint="eastAsia"/>
          <w:b w:val="false"/>
          <w:bCs w:val="false"/>
          <w:lang w:val="en-US" w:eastAsia="zh-CN"/>
        </w:rPr>
        <w:t>”</w:t>
      </w:r>
      <w:r>
        <w:rPr>
          <w:rFonts w:hint="default"/>
          <w:b w:val="false"/>
          <w:bCs w:val="false"/>
          <w:lang w:val="en-US" w:eastAsia="zh-CN"/>
        </w:rPr>
        <w:t>工作提供了操作手册。</w:t>
      </w:r>
    </w:p>
    <w:p>
      <w:pPr>
        <w:pStyle w:val="style0"/>
        <w:keepNext w:val="false"/>
        <w:keepLines w:val="false"/>
        <w:pageBreakBefore w:val="false"/>
        <w:widowControl w:val="false"/>
        <w:kinsoku/>
        <w:wordWrap/>
        <w:overflowPunct/>
        <w:topLinePunct w:val="false"/>
        <w:autoSpaceDE/>
        <w:autoSpaceDN/>
        <w:bidi w:val="false"/>
        <w:adjustRightInd/>
        <w:snapToGrid/>
        <w:ind w:firstLine="643" w:firstLineChars="200"/>
        <w:jc w:val="both"/>
        <w:textAlignment w:val="auto"/>
        <w:rPr>
          <w:rFonts w:hint="default"/>
          <w:lang w:val="en-US" w:eastAsia="zh-CN"/>
        </w:rPr>
      </w:pPr>
      <w:r>
        <w:rPr>
          <w:rFonts w:hint="eastAsia"/>
          <w:b/>
          <w:bCs/>
          <w:lang w:val="en-US" w:eastAsia="zh-CN"/>
        </w:rPr>
        <w:t>（</w:t>
      </w:r>
      <w:r>
        <w:rPr>
          <w:rFonts w:hint="default"/>
          <w:b/>
          <w:bCs/>
          <w:lang w:val="en-US" w:eastAsia="zh-CN"/>
        </w:rPr>
        <w:t>四</w:t>
      </w:r>
      <w:r>
        <w:rPr>
          <w:rFonts w:hint="eastAsia"/>
          <w:b/>
          <w:bCs/>
          <w:lang w:val="en-US" w:eastAsia="zh-CN"/>
        </w:rPr>
        <w:t>）</w:t>
      </w:r>
      <w:r>
        <w:rPr>
          <w:rFonts w:hint="default"/>
          <w:b/>
          <w:bCs/>
          <w:lang w:val="en-US" w:eastAsia="zh-CN"/>
        </w:rPr>
        <w:t>关于《项目资金管理细则（试行）》。</w:t>
      </w:r>
      <w:r>
        <w:rPr>
          <w:rFonts w:hint="default"/>
          <w:lang w:val="en-US" w:eastAsia="zh-CN"/>
        </w:rPr>
        <w:t>该细则共十六条，主要包括资金来源渠道</w:t>
      </w:r>
      <w:bookmarkStart w:id="0" w:name="_GoBack"/>
      <w:bookmarkEnd w:id="0"/>
      <w:r>
        <w:rPr>
          <w:rFonts w:hint="default"/>
          <w:lang w:val="en-US" w:eastAsia="zh-CN"/>
        </w:rPr>
        <w:t>、资金安排、开支范围、资金支付等方面。项目资金渠道由省级科技计划项目专项资金安排。安排方式上，对进入一次榜单终评环节的每个揭榜方案，一次性给予10万元后补助，每个二次榜单项目补助资金原则上不超过1000万元。开支范围包括直接费用和间接费用，其中间接费用实行总额控制。资金支付方面，行业部门对项目开展</w:t>
      </w:r>
      <w:r>
        <w:rPr>
          <w:rFonts w:hint="eastAsia"/>
          <w:lang w:val="en-US" w:eastAsia="zh-CN"/>
        </w:rPr>
        <w:t>“</w:t>
      </w:r>
      <w:r>
        <w:rPr>
          <w:rFonts w:hint="default"/>
          <w:lang w:val="en-US" w:eastAsia="zh-CN"/>
        </w:rPr>
        <w:t>里程碑</w:t>
      </w:r>
      <w:r>
        <w:rPr>
          <w:rFonts w:hint="eastAsia"/>
          <w:lang w:val="en-US" w:eastAsia="zh-CN"/>
        </w:rPr>
        <w:t>”</w:t>
      </w:r>
      <w:r>
        <w:rPr>
          <w:rFonts w:hint="default"/>
          <w:lang w:val="en-US" w:eastAsia="zh-CN"/>
        </w:rPr>
        <w:t>节点考核，科技厅、财政厅会同行业部门按程序拨付资金。该细则为规范资金使用和管理提供了制度保障。</w:t>
      </w:r>
    </w:p>
    <w:p>
      <w:pPr>
        <w:pStyle w:val="style0"/>
        <w:keepNext w:val="false"/>
        <w:keepLines w:val="false"/>
        <w:pageBreakBefore w:val="false"/>
        <w:widowControl w:val="false"/>
        <w:kinsoku/>
        <w:wordWrap/>
        <w:overflowPunct/>
        <w:topLinePunct w:val="false"/>
        <w:autoSpaceDE/>
        <w:autoSpaceDN/>
        <w:bidi w:val="false"/>
        <w:adjustRightInd/>
        <w:snapToGrid/>
        <w:jc w:val="both"/>
        <w:textAlignment w:val="auto"/>
        <w:rPr>
          <w:rFonts w:hint="default"/>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1"/>
    <w:family w:val="auto"/>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Calibri Light">
    <w:altName w:val="Calibri Light"/>
    <w:panose1 w:val="020f0302020002030204"/>
    <w:charset w:val="00"/>
    <w:family w:val="auto"/>
    <w:pitch w:val="default"/>
    <w:sig w:usb0="E4002EFF" w:usb1="C200247B" w:usb2="00000009" w:usb3="00000000" w:csb0="200001FF" w:csb1="00000000"/>
  </w:font>
  <w:font w:name="仿宋">
    <w:altName w:val="仿宋"/>
    <w:panose1 w:val="02010609060001010101"/>
    <w:charset w:val="86"/>
    <w:family w:val="auto"/>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 w:name="微软雅黑">
    <w:altName w:val="微软雅黑"/>
    <w:panose1 w:val="020b0503020002020204"/>
    <w:charset w:val="86"/>
    <w:family w:val="auto"/>
    <w:pitch w:val="default"/>
    <w:sig w:usb0="80000287" w:usb1="2ACF3C50"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 w:name="方正小标宋简体">
    <w:altName w:val="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embedTrueTypeFonts/>
  <w:saveSubset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宋体" w:eastAsia="仿宋" w:hAnsi="Times New Roman"/>
      <w:kern w:val="2"/>
      <w:sz w:val="32"/>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1597</Words>
  <Pages>4</Pages>
  <Characters>1604</Characters>
  <Application>WPS Office</Application>
  <DocSecurity>0</DocSecurity>
  <Paragraphs>10</Paragraphs>
  <ScaleCrop>false</ScaleCrop>
  <LinksUpToDate>false</LinksUpToDate>
  <CharactersWithSpaces>1604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2024-10-18T14:26:33Z</dcterms:created>
  <dc:creator>71480</dc:creator>
  <lastModifiedBy>ALN-AL00</lastModifiedBy>
  <dcterms:modified xsi:type="dcterms:W3CDTF">2024-10-19T05:29:57Z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fcd27e20419e4af2a3760e9d79e6f7cd_23</vt:lpwstr>
  </property>
</Properties>
</file>