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9A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 w14:paraId="7792E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省级科技企业孵化器自评报告</w:t>
      </w:r>
    </w:p>
    <w:p w14:paraId="6B73B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长城小标宋体" w:cs="Times New Roman"/>
          <w:sz w:val="32"/>
          <w:szCs w:val="40"/>
        </w:rPr>
      </w:pPr>
      <w:r>
        <w:rPr>
          <w:rFonts w:hint="default" w:ascii="Times New Roman" w:hAnsi="Times New Roman" w:eastAsia="长城小标宋体" w:cs="Times New Roman"/>
          <w:sz w:val="32"/>
          <w:szCs w:val="40"/>
        </w:rPr>
        <w:t>（模板）</w:t>
      </w:r>
    </w:p>
    <w:tbl>
      <w:tblPr>
        <w:tblStyle w:val="13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07"/>
        <w:gridCol w:w="218"/>
        <w:gridCol w:w="45"/>
        <w:gridCol w:w="1110"/>
        <w:gridCol w:w="15"/>
        <w:gridCol w:w="15"/>
        <w:gridCol w:w="15"/>
        <w:gridCol w:w="177"/>
        <w:gridCol w:w="783"/>
        <w:gridCol w:w="570"/>
        <w:gridCol w:w="312"/>
        <w:gridCol w:w="78"/>
        <w:gridCol w:w="1140"/>
        <w:gridCol w:w="225"/>
        <w:gridCol w:w="690"/>
        <w:gridCol w:w="90"/>
        <w:gridCol w:w="804"/>
        <w:gridCol w:w="141"/>
        <w:gridCol w:w="105"/>
        <w:gridCol w:w="150"/>
        <w:gridCol w:w="1140"/>
      </w:tblGrid>
      <w:tr w14:paraId="0A47E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7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一、基本情况</w:t>
            </w:r>
          </w:p>
        </w:tc>
      </w:tr>
      <w:tr w14:paraId="4B12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</w:t>
            </w:r>
          </w:p>
          <w:p w14:paraId="2E0D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称</w:t>
            </w: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6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</w:t>
            </w:r>
          </w:p>
          <w:p w14:paraId="37AB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F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6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4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A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3EA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6FD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C414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0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97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5EA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78E1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7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7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2024年度工作概述</w:t>
            </w:r>
          </w:p>
          <w:p w14:paraId="551F564E">
            <w:pPr>
              <w:pStyle w:val="2"/>
              <w:rPr>
                <w:rFonts w:hint="eastAsia"/>
                <w:lang w:val="en-US" w:eastAsia="zh-CN"/>
              </w:rPr>
            </w:pPr>
          </w:p>
          <w:p w14:paraId="15EB1E5A">
            <w:pPr>
              <w:rPr>
                <w:rFonts w:hint="eastAsia"/>
                <w:lang w:val="en-US" w:eastAsia="zh-CN"/>
              </w:rPr>
            </w:pPr>
          </w:p>
          <w:p w14:paraId="7AA532FD">
            <w:pPr>
              <w:pStyle w:val="2"/>
              <w:rPr>
                <w:rFonts w:hint="eastAsia"/>
                <w:lang w:val="en-US" w:eastAsia="zh-CN"/>
              </w:rPr>
            </w:pPr>
          </w:p>
          <w:p w14:paraId="27193BD7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537E0143">
            <w:pPr>
              <w:rPr>
                <w:rFonts w:hint="eastAsia"/>
                <w:lang w:val="en-US" w:eastAsia="zh-CN"/>
              </w:rPr>
            </w:pPr>
          </w:p>
          <w:p w14:paraId="6A261540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534D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1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二、服务能力</w:t>
            </w:r>
          </w:p>
        </w:tc>
      </w:tr>
      <w:tr w14:paraId="5523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B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1.孵化场地情况</w:t>
            </w:r>
          </w:p>
        </w:tc>
      </w:tr>
      <w:tr w14:paraId="3843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3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孵化器可自主支配总面积（平方米）</w:t>
            </w:r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9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在孵企业使用面积（含公共服务）（平方米）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0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在孵企业使用面积（含公共服务面积）占总面积比例（%）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E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5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6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2.孵化管理服务团队情况</w:t>
            </w:r>
          </w:p>
        </w:tc>
      </w:tr>
      <w:tr w14:paraId="4FD0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9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管理服务团队总人数（人）</w:t>
            </w:r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C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接受专业培训人数（人）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0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F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接受专业培训人数占总人数比例（%）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7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A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管理服务团队建设及服务能力持续提升情况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指孵化器拥有的孵化管理团队、专业孵化服务人员、接受相关培训学习等情况。)</w:t>
            </w:r>
          </w:p>
          <w:p w14:paraId="080C8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E75BF64">
            <w:pPr>
              <w:pStyle w:val="2"/>
              <w:rPr>
                <w:rFonts w:hint="eastAsia"/>
                <w:lang w:val="en-US" w:eastAsia="zh-CN"/>
              </w:rPr>
            </w:pPr>
          </w:p>
          <w:p w14:paraId="2DA534B7">
            <w:pPr>
              <w:rPr>
                <w:rFonts w:hint="eastAsia"/>
                <w:lang w:val="en-US" w:eastAsia="zh-CN"/>
              </w:rPr>
            </w:pPr>
          </w:p>
          <w:p w14:paraId="775A3D21">
            <w:pPr>
              <w:rPr>
                <w:rFonts w:hint="eastAsia"/>
                <w:lang w:val="en-US" w:eastAsia="zh-CN"/>
              </w:rPr>
            </w:pPr>
          </w:p>
        </w:tc>
      </w:tr>
      <w:tr w14:paraId="14DB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F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3.创业导师队伍情况</w:t>
            </w:r>
          </w:p>
        </w:tc>
      </w:tr>
      <w:tr w14:paraId="2F4B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创业导师数量（人）</w:t>
            </w:r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7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每10家在孵企业配备的创业导师数（人）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8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创业导师对接企业数量（个）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5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7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A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创业导师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队伍建设及创业辅导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工作开展情况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指孵化器拥有的创业导师队伍、创业导师为创业企业、创业者提供专业化、实践性辅导服务工作开展情况。）</w:t>
            </w:r>
          </w:p>
          <w:p w14:paraId="0700F52B">
            <w:pPr>
              <w:rPr>
                <w:rFonts w:hint="eastAsia"/>
              </w:rPr>
            </w:pPr>
          </w:p>
          <w:p w14:paraId="44A6F669">
            <w:pPr>
              <w:pStyle w:val="2"/>
              <w:rPr>
                <w:rFonts w:hint="eastAsia"/>
              </w:rPr>
            </w:pPr>
          </w:p>
          <w:p w14:paraId="476B8472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23E00163">
            <w:pPr>
              <w:pStyle w:val="2"/>
              <w:rPr>
                <w:rFonts w:hint="eastAsia"/>
              </w:rPr>
            </w:pPr>
          </w:p>
        </w:tc>
      </w:tr>
      <w:tr w14:paraId="66E8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E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4.公共服务情况</w:t>
            </w:r>
          </w:p>
        </w:tc>
      </w:tr>
      <w:tr w14:paraId="60D3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签约中介机构数量（个）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E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公共技术服务平台数（个）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F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E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公共技术服务平台投资额（万元）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A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4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中介和公共技术服务平台工作开展情况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（指孵化器与中介机构合作，建立检验检测、小试中试专业技术服务平台，提供中介服务及专业技术服务工作开展情况。）</w:t>
            </w:r>
          </w:p>
          <w:p w14:paraId="413E2185">
            <w:pPr>
              <w:pStyle w:val="2"/>
              <w:rPr>
                <w:rFonts w:hint="eastAsia"/>
                <w:lang w:val="en-US" w:eastAsia="zh-CN"/>
              </w:rPr>
            </w:pPr>
          </w:p>
          <w:p w14:paraId="05FE1317">
            <w:pPr>
              <w:pStyle w:val="2"/>
              <w:rPr>
                <w:rFonts w:hint="eastAsia"/>
                <w:lang w:val="en-US" w:eastAsia="zh-CN"/>
              </w:rPr>
            </w:pPr>
          </w:p>
          <w:p w14:paraId="31C96F68">
            <w:pPr>
              <w:rPr>
                <w:rFonts w:hint="eastAsia"/>
                <w:lang w:val="en-US" w:eastAsia="zh-CN"/>
              </w:rPr>
            </w:pPr>
          </w:p>
          <w:p w14:paraId="3B71D67F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03F0858C">
            <w:pPr>
              <w:rPr>
                <w:rFonts w:hint="eastAsia"/>
                <w:lang w:val="en-US" w:eastAsia="zh-CN"/>
              </w:rPr>
            </w:pPr>
          </w:p>
        </w:tc>
      </w:tr>
      <w:tr w14:paraId="7EC0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F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5.投融资服务情况</w:t>
            </w:r>
          </w:p>
        </w:tc>
      </w:tr>
      <w:tr w14:paraId="6DDB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孵化基金总额（万元）</w:t>
            </w:r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2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当年获得投融资的在孵企业数（个）</w:t>
            </w:r>
          </w:p>
        </w:tc>
        <w:tc>
          <w:tcPr>
            <w:tcW w:w="2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3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6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投融资服务工作开展情况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（指孵化器设立的孵化基金、合作的银行、投融资机构为创业企业、创业者提供的投融资服务工作开展情况。）</w:t>
            </w:r>
          </w:p>
          <w:p w14:paraId="33464A7C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421FECD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BD30572">
            <w:pPr>
              <w:rPr>
                <w:rFonts w:hint="eastAsia"/>
                <w:lang w:val="en-US" w:eastAsia="zh-CN"/>
              </w:rPr>
            </w:pPr>
          </w:p>
          <w:p w14:paraId="5A41BC1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67B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三、孵化绩效</w:t>
            </w:r>
          </w:p>
        </w:tc>
      </w:tr>
      <w:tr w14:paraId="0DE7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在孵企业数（家）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1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6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每千平方米在孵企业数量（家）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当年新增在孵企业数（家）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4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A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当年新增毕业企业数（家）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7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shd w:val="clear" w:color="auto" w:fill="auto"/>
            <w:vAlign w:val="center"/>
          </w:tcPr>
          <w:p w14:paraId="63C5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当年获得投融资的在孵企业数（家）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C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当年科技型中小企业入库备案数（家）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2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8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当年通过高新技术企业认定数（家）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0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1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在孵企业当年知识产权申请数（件）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7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在孵企业当年授权知识产权数（件）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5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其中;发明专利授权数（件）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5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C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在孵企业当年研究与试验发展（R&amp;D）经费支出（万元）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4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在孵企业当年总收入（万元）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9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7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1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科技型企业梯度培育工作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（指孵化器引进培育科技型企业，如科技型中小企业、高新技术企业梯度培育工作开展情况。）</w:t>
            </w:r>
          </w:p>
          <w:p w14:paraId="61D21AC9">
            <w:pPr>
              <w:pStyle w:val="2"/>
              <w:rPr>
                <w:rFonts w:hint="eastAsia"/>
                <w:lang w:val="en-US" w:eastAsia="zh-CN"/>
              </w:rPr>
            </w:pPr>
          </w:p>
          <w:p w14:paraId="45380591">
            <w:pPr>
              <w:pStyle w:val="2"/>
              <w:rPr>
                <w:rFonts w:hint="eastAsia"/>
                <w:lang w:val="en-US" w:eastAsia="zh-CN"/>
              </w:rPr>
            </w:pPr>
          </w:p>
          <w:p w14:paraId="0EE4CF16">
            <w:pPr>
              <w:rPr>
                <w:rFonts w:hint="eastAsia"/>
                <w:lang w:val="en-US" w:eastAsia="zh-CN"/>
              </w:rPr>
            </w:pPr>
          </w:p>
          <w:p w14:paraId="5F06B6DE">
            <w:pPr>
              <w:pStyle w:val="2"/>
              <w:rPr>
                <w:rFonts w:hint="eastAsia"/>
                <w:lang w:val="en-US" w:eastAsia="zh-CN"/>
              </w:rPr>
            </w:pPr>
          </w:p>
          <w:p w14:paraId="641CF783">
            <w:pPr>
              <w:rPr>
                <w:rFonts w:hint="eastAsia"/>
                <w:lang w:val="en-US" w:eastAsia="zh-CN"/>
              </w:rPr>
            </w:pPr>
          </w:p>
          <w:p w14:paraId="7ABE46E0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5318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四、吸纳大学生创业与就业情况</w:t>
            </w:r>
          </w:p>
        </w:tc>
      </w:tr>
      <w:tr w14:paraId="22CF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孵化器吸纳孵化大学生创业团队（企业）数量（个）</w:t>
            </w:r>
          </w:p>
        </w:tc>
        <w:tc>
          <w:tcPr>
            <w:tcW w:w="13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8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1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孵化器为大学生创业团队开放免费空间面积（平方米）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8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3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在孵企业当年吸纳应届大学毕业生就业人数（人）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1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F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7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吸纳大学生创业与就业工作开展情况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（指孵化器落实科技创新创业政策情况，包括面向大学生创业团队开放一定比例的免费孵化空间，为大学生创业提供专门服务指导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在孵企业吸纳应届大学生就业情况。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0701C540">
            <w:pPr>
              <w:pStyle w:val="2"/>
              <w:rPr>
                <w:rFonts w:hint="eastAsia"/>
                <w:lang w:val="en-US" w:eastAsia="zh-CN"/>
              </w:rPr>
            </w:pPr>
          </w:p>
          <w:p w14:paraId="4CE302A5">
            <w:pPr>
              <w:rPr>
                <w:rFonts w:hint="eastAsia"/>
                <w:lang w:val="en-US" w:eastAsia="zh-CN"/>
              </w:rPr>
            </w:pPr>
          </w:p>
          <w:p w14:paraId="09DCA404">
            <w:pPr>
              <w:pStyle w:val="2"/>
              <w:rPr>
                <w:rFonts w:hint="eastAsia"/>
                <w:lang w:val="en-US" w:eastAsia="zh-CN"/>
              </w:rPr>
            </w:pPr>
          </w:p>
          <w:p w14:paraId="20CC33F3">
            <w:pPr>
              <w:rPr>
                <w:rFonts w:hint="eastAsia"/>
                <w:lang w:val="en-US" w:eastAsia="zh-CN"/>
              </w:rPr>
            </w:pPr>
          </w:p>
          <w:p w14:paraId="55D133F6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25F3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五、可持续发展</w:t>
            </w:r>
          </w:p>
        </w:tc>
      </w:tr>
      <w:tr w14:paraId="4612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4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孵化器当年总收入（万元）</w:t>
            </w: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2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A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孵化器当年综合服务收入（含投资收入）综合服务收入（万元）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7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孵化器当年综合服务收入（含投资收入）占总收入比例（%）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D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F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4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C3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Chars="0" w:right="0" w:rightChars="0"/>
              <w:outlineLvl w:val="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落实安全生产主体责任工作开展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(指孵化器开展安全检查、隐患排查、安全消防演练培训，消防设备配置等工作开展情况。）</w:t>
            </w:r>
          </w:p>
          <w:p w14:paraId="43C31179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 w14:paraId="53DF297E">
            <w:pPr>
              <w:rPr>
                <w:rFonts w:hint="eastAsia"/>
              </w:rPr>
            </w:pPr>
          </w:p>
          <w:p w14:paraId="0BD41FCE"/>
          <w:p w14:paraId="1A3A9800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</w:tbl>
    <w:p w14:paraId="63AA4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自评报告内容为2024年1月1日—2024年12月31日工作开展情     况，可插图片。</w:t>
      </w:r>
    </w:p>
    <w:p w14:paraId="7D186AFE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须附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：孵化器2024年度统计年报。</w:t>
      </w:r>
    </w:p>
    <w:p w14:paraId="72C13161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2DA7A17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D5680">
    <w:pPr>
      <w:pStyle w:val="8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80153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80153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0DC1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3233C82"/>
    <w:rsid w:val="06C4614E"/>
    <w:rsid w:val="07975BE7"/>
    <w:rsid w:val="099A6CDE"/>
    <w:rsid w:val="0D6B6756"/>
    <w:rsid w:val="12326265"/>
    <w:rsid w:val="125F63DE"/>
    <w:rsid w:val="13347445"/>
    <w:rsid w:val="17C30988"/>
    <w:rsid w:val="18344869"/>
    <w:rsid w:val="197D610A"/>
    <w:rsid w:val="1B041DF3"/>
    <w:rsid w:val="1DDB2A11"/>
    <w:rsid w:val="20684BD2"/>
    <w:rsid w:val="20DFEA7F"/>
    <w:rsid w:val="21DB118B"/>
    <w:rsid w:val="224621C6"/>
    <w:rsid w:val="23462F62"/>
    <w:rsid w:val="26D464F6"/>
    <w:rsid w:val="2764F340"/>
    <w:rsid w:val="296724C3"/>
    <w:rsid w:val="2A4D2502"/>
    <w:rsid w:val="2A9C2659"/>
    <w:rsid w:val="2AB364B8"/>
    <w:rsid w:val="2B685373"/>
    <w:rsid w:val="2CAD0F87"/>
    <w:rsid w:val="2CB96C70"/>
    <w:rsid w:val="2F8311E7"/>
    <w:rsid w:val="327D4BF7"/>
    <w:rsid w:val="32834481"/>
    <w:rsid w:val="336D27D3"/>
    <w:rsid w:val="363E3FB3"/>
    <w:rsid w:val="38261B76"/>
    <w:rsid w:val="3A173C2E"/>
    <w:rsid w:val="3AB82056"/>
    <w:rsid w:val="3ADA1872"/>
    <w:rsid w:val="3B31058A"/>
    <w:rsid w:val="3BCDE2A9"/>
    <w:rsid w:val="3C3F3D06"/>
    <w:rsid w:val="3E270AB8"/>
    <w:rsid w:val="3F09732A"/>
    <w:rsid w:val="3F57E386"/>
    <w:rsid w:val="3F6E653C"/>
    <w:rsid w:val="40FD164C"/>
    <w:rsid w:val="426B25D4"/>
    <w:rsid w:val="434A3BE7"/>
    <w:rsid w:val="44383332"/>
    <w:rsid w:val="454809AA"/>
    <w:rsid w:val="49565E72"/>
    <w:rsid w:val="49B35ECA"/>
    <w:rsid w:val="49BC5F7D"/>
    <w:rsid w:val="4AC64F63"/>
    <w:rsid w:val="4BB26F72"/>
    <w:rsid w:val="4C60366B"/>
    <w:rsid w:val="4FFB3DE9"/>
    <w:rsid w:val="50212524"/>
    <w:rsid w:val="50B02069"/>
    <w:rsid w:val="50EE13D6"/>
    <w:rsid w:val="514D6BA6"/>
    <w:rsid w:val="51EB4B97"/>
    <w:rsid w:val="54187C18"/>
    <w:rsid w:val="54DF64EF"/>
    <w:rsid w:val="57112052"/>
    <w:rsid w:val="587B50B5"/>
    <w:rsid w:val="59D94913"/>
    <w:rsid w:val="5A5359CF"/>
    <w:rsid w:val="5A886BD7"/>
    <w:rsid w:val="5AAE6852"/>
    <w:rsid w:val="5AFB6431"/>
    <w:rsid w:val="5B1A39C4"/>
    <w:rsid w:val="5FA305B8"/>
    <w:rsid w:val="5FEDF024"/>
    <w:rsid w:val="635B5FBB"/>
    <w:rsid w:val="63C83638"/>
    <w:rsid w:val="63D85F8A"/>
    <w:rsid w:val="643B1E41"/>
    <w:rsid w:val="64DD0CB7"/>
    <w:rsid w:val="65625EA7"/>
    <w:rsid w:val="68CE5345"/>
    <w:rsid w:val="6BDF8198"/>
    <w:rsid w:val="6C7D5172"/>
    <w:rsid w:val="6D5B4649"/>
    <w:rsid w:val="6F7FE199"/>
    <w:rsid w:val="6FBFAD93"/>
    <w:rsid w:val="6FDF23CA"/>
    <w:rsid w:val="6FDFAE27"/>
    <w:rsid w:val="720E0476"/>
    <w:rsid w:val="720F1071"/>
    <w:rsid w:val="721039AE"/>
    <w:rsid w:val="739177BF"/>
    <w:rsid w:val="73A330CC"/>
    <w:rsid w:val="77ACA00B"/>
    <w:rsid w:val="79EF1F7D"/>
    <w:rsid w:val="79F7F925"/>
    <w:rsid w:val="7A704519"/>
    <w:rsid w:val="7AD84820"/>
    <w:rsid w:val="7BD51013"/>
    <w:rsid w:val="7BF971AA"/>
    <w:rsid w:val="7CFB4046"/>
    <w:rsid w:val="7D9DA42B"/>
    <w:rsid w:val="7EAFA901"/>
    <w:rsid w:val="7EC7C1A7"/>
    <w:rsid w:val="7EDFFD46"/>
    <w:rsid w:val="7F0A2F02"/>
    <w:rsid w:val="7F54311E"/>
    <w:rsid w:val="7F5B2E6C"/>
    <w:rsid w:val="7F836328"/>
    <w:rsid w:val="7F850938"/>
    <w:rsid w:val="7FDF9FE2"/>
    <w:rsid w:val="7FDFFA4F"/>
    <w:rsid w:val="7FFF6CE7"/>
    <w:rsid w:val="7FFF90D8"/>
    <w:rsid w:val="8FEEC8BD"/>
    <w:rsid w:val="9FEFE808"/>
    <w:rsid w:val="A6FDEB22"/>
    <w:rsid w:val="B176DF2B"/>
    <w:rsid w:val="B5A6CE73"/>
    <w:rsid w:val="B77FA680"/>
    <w:rsid w:val="BABDFBC1"/>
    <w:rsid w:val="BDFFE1F1"/>
    <w:rsid w:val="BEB796A6"/>
    <w:rsid w:val="BF8219E2"/>
    <w:rsid w:val="CF5BE863"/>
    <w:rsid w:val="CFDEABE0"/>
    <w:rsid w:val="D57AEBA6"/>
    <w:rsid w:val="DB3F29F2"/>
    <w:rsid w:val="DBBDC31C"/>
    <w:rsid w:val="DF120905"/>
    <w:rsid w:val="DFFD7A6E"/>
    <w:rsid w:val="E7CD972F"/>
    <w:rsid w:val="EE6EC1D2"/>
    <w:rsid w:val="EEFDC17E"/>
    <w:rsid w:val="EF7D350E"/>
    <w:rsid w:val="F5D6085C"/>
    <w:rsid w:val="FBFE4E72"/>
    <w:rsid w:val="FD5DFAA7"/>
    <w:rsid w:val="FEEFCC52"/>
    <w:rsid w:val="FF6A1734"/>
    <w:rsid w:val="FFCF810D"/>
    <w:rsid w:val="FFDBAB98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5">
    <w:name w:val="annotation text"/>
    <w:basedOn w:val="1"/>
    <w:link w:val="2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122E67"/>
      <w:sz w:val="9"/>
      <w:szCs w:val="9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122E67"/>
      <w:sz w:val="9"/>
      <w:szCs w:val="9"/>
      <w:u w:val="none"/>
    </w:rPr>
  </w:style>
  <w:style w:type="character" w:customStyle="1" w:styleId="20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3">
    <w:name w:val="页眉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5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6">
    <w:name w:val="批注文字 Char"/>
    <w:basedOn w:val="15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Char1"/>
    <w:basedOn w:val="15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8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9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0">
    <w:name w:val="font3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2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0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4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1174</Words>
  <Characters>1199</Characters>
  <Lines>27</Lines>
  <Paragraphs>7</Paragraphs>
  <TotalTime>0</TotalTime>
  <ScaleCrop>false</ScaleCrop>
  <LinksUpToDate>false</LinksUpToDate>
  <CharactersWithSpaces>1214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2020-10-05T08:49:00Z</dcterms:created>
  <dc:creator>laure</dc:creator>
  <cp:lastModifiedBy>柏林</cp:lastModifiedBy>
  <cp:lastPrinted>2023-08-28T18:33:00Z</cp:lastPrinted>
  <dcterms:modified xsi:type="dcterms:W3CDTF">2025-07-07T09:36:15Z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2730E18CC69045C78436AA5DD5CF8341_13</vt:lpwstr>
  </property>
  <property fmtid="{D5CDD505-2E9C-101B-9397-08002B2CF9AE}" pid="4" name="KSOTemplateDocerSaveRecord">
    <vt:lpwstr>eyJoZGlkIjoiYjVhNWUxMTk0NWYzNzMyZTg4NWM1ODc1YTBmMDhiNWUiLCJ1c2VySWQiOiIzOTkyMjg4MzQifQ==</vt:lpwstr>
  </property>
</Properties>
</file>