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rPr>
          <w:rFonts w:hint="default" w:ascii="方正小标宋_GBK" w:hAnsi="宋体" w:eastAsia="方正小标宋_GBK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Times New Roman" w:eastAsia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Times New Roman" w:eastAsia="方正小标宋_GBK"/>
          <w:b w:val="0"/>
          <w:bCs w:val="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Times New Roman" w:eastAsia="方正小标宋_GBK"/>
          <w:b w:val="0"/>
          <w:bCs w:val="0"/>
          <w:sz w:val="44"/>
          <w:szCs w:val="44"/>
        </w:rPr>
        <w:t>关于《四川省激励企业加大研发投入后补助实施办法（征求意见稿）》</w:t>
      </w:r>
      <w:r>
        <w:rPr>
          <w:rFonts w:hint="eastAsia" w:ascii="方正小标宋_GBK" w:hAnsi="Times New Roman" w:eastAsia="方正小标宋_GBK"/>
          <w:b w:val="0"/>
          <w:bCs w:val="0"/>
          <w:spacing w:val="-11"/>
          <w:sz w:val="44"/>
          <w:szCs w:val="44"/>
        </w:rPr>
        <w:t>的</w:t>
      </w:r>
      <w:r>
        <w:rPr>
          <w:rFonts w:hint="eastAsia" w:ascii="方正小标宋_GBK" w:hAnsi="Times New Roman" w:eastAsia="方正小标宋_GBK"/>
          <w:b w:val="0"/>
          <w:bCs w:val="0"/>
          <w:spacing w:val="0"/>
          <w:sz w:val="44"/>
          <w:szCs w:val="44"/>
          <w:lang w:eastAsia="zh-CN"/>
        </w:rPr>
        <w:t>情况说明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29" w:firstLineChars="196"/>
        <w:textAlignment w:val="auto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根据政务公开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和规范性文件制定的有关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要求，现将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《四川省激励企业加大研发投入后补助实施办法（征求意见稿）》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（以下简称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《实施办法》）起草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情况说明如下。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一、背景依据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为进一步贯彻落实省委省政府创新驱动发展战略，充分调动我省企业加大研发投入的积极性，结合审计发现问题整改工作情况和2020、2021两个年度的后补助执行情况，我们对《四川省激励企业加大研发投入后补助实施暂行办法》（川科高〔2020〕21号）进行了修订。</w:t>
      </w:r>
    </w:p>
    <w:p>
      <w:pPr>
        <w:spacing w:line="576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color w:val="000000"/>
          <w:kern w:val="0"/>
          <w:sz w:val="32"/>
          <w:szCs w:val="32"/>
        </w:rPr>
        <w:t>二、起草情况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收集研究了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湖南、天津、山东等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省份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开展企业研发投入后补助的相关政策法规，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根据相关工作推进情况，按照“闭环严谨、条件明确”的要求，优化具体操作流程，完善相关内容，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相关省直部门，开展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数据摸底，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研究优化补助门槛，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初稿。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管理办法共分为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章、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条。其中，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第一章为总则，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主要介绍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办法起草的依据、相关概念的定义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、省级相关部门的分工等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第二章为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补助对象及条件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主要明确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了申报周期和研发投入统计范围，并明确了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补助的对象企业和市（州）须满足的条件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第三章为补助计算依据及标准，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主要明确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企业和市（州）补助计算的依据和补助测算的标准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第四章为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申报受理程序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规定了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申报、审核、复核、公示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程序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申报材料由申报主体提交，经推荐单位及省级相关部门审核后，再由省级相关部门复核资质，确定公示名单。对公示无异议的，予以后补助资金拨付。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第五章为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申报材料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明确了企业和市（州）申报过程中应提供的材料名单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第六章为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补助经费的使用及管理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主要明确了补助对象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在经费使用上的责任与义务，对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各级相关部门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专项资金的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工作提出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要求。</w:t>
      </w:r>
    </w:p>
    <w:p>
      <w:pPr>
        <w:ind w:firstLine="642" w:firstLineChars="200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第七章为附则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明确了本办法的有效施行期。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IyMDIxMTRlYjA5OGE3MzhhOWMzYWEyMzJiNWIifQ=="/>
  </w:docVars>
  <w:rsids>
    <w:rsidRoot w:val="69E42FC6"/>
    <w:rsid w:val="3EF618CF"/>
    <w:rsid w:val="69E42FC6"/>
    <w:rsid w:val="FEFD8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b/>
      <w:bCs/>
    </w:rPr>
  </w:style>
  <w:style w:type="paragraph" w:styleId="4">
    <w:name w:val="Body Text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First Indent"/>
    <w:unhideWhenUsed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735</Characters>
  <Lines>0</Lines>
  <Paragraphs>0</Paragraphs>
  <TotalTime>11</TotalTime>
  <ScaleCrop>false</ScaleCrop>
  <LinksUpToDate>false</LinksUpToDate>
  <CharactersWithSpaces>735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2022-11-24T16:35:00Z</dcterms:created>
  <dc:creator>于</dc:creator>
  <cp:lastModifiedBy>user</cp:lastModifiedBy>
  <dcterms:modified xsi:type="dcterms:W3CDTF">2022-11-24T17:19:14Z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FD3657CD536C4D88A6DFD7BBDB3A4F38</vt:lpwstr>
  </property>
</Properties>
</file>