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关于面向社会公开征求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《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四川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省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进一步支持企业发挥创新主体作用的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若干政策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（征求意见稿）》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的情况说明</w:t>
      </w: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要求，现将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《四川省进一步支持企业发挥创新主体作用的若干政策（征求意见稿）》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起草</w:t>
      </w:r>
      <w:r>
        <w:rPr>
          <w:rFonts w:ascii="Times New Roman" w:hAnsi="Times New Roman" w:eastAsia="仿宋_GB2312"/>
          <w:color w:val="000000"/>
          <w:sz w:val="32"/>
          <w:szCs w:val="32"/>
        </w:rPr>
        <w:t>情况说明如下。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深入学习贯彻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党的二十大精神和习近平总书记来川视察重要指示精神，全面落实省委十二届二次、三次全会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决策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部署，强化企业创新主体地位，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提高企业技术创新能力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科技厅牵头研究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起草了《四川省进一步支持企业发挥创新主体作用的若干政策（征求意见稿）》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（以下简称《若干政策》）。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《若干政策》共八大部分。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  <w:t>第一部分为培育壮大科技创新企业群体。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明确实施创新型企业培育“三强计划”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培育制造业创新型企业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促进企业知识产权能力提升，同时，对不同创新主体的企业给予财政资金支持或奖励补助。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  <w:t>第二部分为引导企业加大研发投入。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明确实施企业研发投入后补助政策，推动惠企税收政策兑现落实，健全国有企业创新研发投入容错纠错机制。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  <w:t>第三部分为支持企业建设重大科技创新平台。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明确支持企业创建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国家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级创新平台和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建设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各类省级创新平台，并对不同创新平台给予相应资金支持。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  <w:t>第四部分为支持企业开展关键核心技术攻关。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围绕承担国家重大科技任务，科技计划项目指南编制、需求征集，开展产业技术创新等方面，支持企业开展关键核心技术攻关。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  <w:t>第五部分为鼓励企业加快科技成果转移转化。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明确支持企业建设新型研发机构、建设中试研发平台、引进转化科技成果，并给予相应补助支持。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  <w:t>第六部分为强化对企业的金融支持。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明确建立健全融资贷款风险分担机制，支持企业多层次资本市场融资并给予相应补贴，同时，探索设立科技保险降低企业研发风险。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  <w:t>第七部分为支持企业引进培养科技人才。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支持企业培养引进高层次人才和从省内外招引博士后。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  <w:t>第八部分为持续优化企业创新环境。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围绕加强科创企业孵化载体建设，支持企业参与创新创业活动，探索深化企业科技体制机制改革等方面来优化企业创新环境。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BFF8628"/>
    <w:rsid w:val="4A1947CF"/>
    <w:rsid w:val="67791D74"/>
    <w:rsid w:val="6FFF01CE"/>
    <w:rsid w:val="94FB065E"/>
    <w:rsid w:val="B7FB53E8"/>
    <w:rsid w:val="CF5F92A3"/>
    <w:rsid w:val="F6AD5CEE"/>
    <w:rsid w:val="FF3FB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widowControl/>
      <w:spacing w:line="357" w:lineRule="atLeast"/>
      <w:ind w:firstLine="420" w:firstLineChars="200"/>
      <w:textAlignment w:val="baseline"/>
    </w:pPr>
    <w:rPr>
      <w:rFonts w:ascii="Calibri" w:hAnsi="Calibri" w:cs="宋体"/>
      <w:color w:val="000000"/>
      <w:kern w:val="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</w:rPr>
  </w:style>
  <w:style w:type="paragraph" w:styleId="4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user</cp:lastModifiedBy>
  <cp:lastPrinted>2023-07-25T09:33:00Z</cp:lastPrinted>
  <dcterms:modified xsi:type="dcterms:W3CDTF">2023-07-24T17:59:14Z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